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B0B63" w14:textId="77777777" w:rsidR="004570F9" w:rsidRPr="008A3554" w:rsidRDefault="004570F9" w:rsidP="004570F9">
      <w:pPr>
        <w:rPr>
          <w:rFonts w:ascii="Arial Narrow" w:hAnsi="Arial Narrow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966"/>
        <w:gridCol w:w="2964"/>
      </w:tblGrid>
      <w:tr w:rsidR="0058460B" w:rsidRPr="008A3554" w14:paraId="70A9E4F4" w14:textId="77777777" w:rsidTr="0058460B">
        <w:tc>
          <w:tcPr>
            <w:tcW w:w="8954" w:type="dxa"/>
            <w:gridSpan w:val="3"/>
            <w:shd w:val="clear" w:color="auto" w:fill="E0E0E0"/>
          </w:tcPr>
          <w:p w14:paraId="4780AA75" w14:textId="77777777" w:rsidR="004570F9" w:rsidRPr="008A3554" w:rsidRDefault="004570F9" w:rsidP="00D70CF8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8A3554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14: Систематско праћење и периодична провера квалитета</w:t>
            </w:r>
          </w:p>
          <w:p w14:paraId="2E182E03" w14:textId="77777777" w:rsidR="004570F9" w:rsidRPr="008A3554" w:rsidRDefault="004570F9" w:rsidP="00D70CF8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sz w:val="22"/>
                <w:szCs w:val="22"/>
                <w:lang w:val="sr-Cyrl-CS"/>
              </w:rPr>
              <w:t>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квалитета.</w:t>
            </w:r>
          </w:p>
        </w:tc>
      </w:tr>
      <w:tr w:rsidR="004570F9" w:rsidRPr="008A3554" w14:paraId="2D83D017" w14:textId="77777777" w:rsidTr="00D70CF8">
        <w:trPr>
          <w:trHeight w:val="6363"/>
        </w:trPr>
        <w:tc>
          <w:tcPr>
            <w:tcW w:w="8954" w:type="dxa"/>
            <w:gridSpan w:val="3"/>
          </w:tcPr>
          <w:p w14:paraId="459DB863" w14:textId="77777777" w:rsidR="007942AB" w:rsidRPr="007942AB" w:rsidRDefault="007942AB" w:rsidP="007942AB">
            <w:pPr>
              <w:shd w:val="clear" w:color="auto" w:fill="FFFFFF"/>
              <w:ind w:right="108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Донета су сва потребна документа из области обезбеђења и унапређења квалитета, од којих се неки већ примењују као на пример:</w:t>
            </w:r>
          </w:p>
          <w:p w14:paraId="4EB782EF" w14:textId="77777777" w:rsidR="007942AB" w:rsidRPr="007942AB" w:rsidRDefault="007942AB" w:rsidP="007942AB">
            <w:pPr>
              <w:numPr>
                <w:ilvl w:val="0"/>
                <w:numId w:val="31"/>
              </w:numPr>
              <w:shd w:val="clear" w:color="auto" w:fill="FFFFFF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вредновање педагошког рада наставника од стране студената</w:t>
            </w:r>
          </w:p>
          <w:p w14:paraId="7126E3E9" w14:textId="77777777" w:rsidR="007942AB" w:rsidRPr="007942AB" w:rsidRDefault="007942AB" w:rsidP="007942AB">
            <w:pPr>
              <w:numPr>
                <w:ilvl w:val="0"/>
                <w:numId w:val="31"/>
              </w:numPr>
              <w:shd w:val="clear" w:color="auto" w:fill="FFFFFF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вредновање квалитета студијског прорама и школе од стране студената</w:t>
            </w:r>
          </w:p>
          <w:p w14:paraId="7C0260B8" w14:textId="77777777" w:rsidR="007942AB" w:rsidRPr="007942AB" w:rsidRDefault="007942AB" w:rsidP="007942AB">
            <w:pPr>
              <w:numPr>
                <w:ilvl w:val="0"/>
                <w:numId w:val="31"/>
              </w:numPr>
              <w:shd w:val="clear" w:color="auto" w:fill="FFFFFF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примена критеријума за избор наставника, израду и одбрану завршних радова.</w:t>
            </w:r>
          </w:p>
          <w:p w14:paraId="02457573" w14:textId="77777777" w:rsidR="007942AB" w:rsidRPr="007942AB" w:rsidRDefault="007942AB" w:rsidP="007942AB">
            <w:pPr>
              <w:shd w:val="clear" w:color="auto" w:fill="FFFFFF"/>
              <w:ind w:right="108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Континуирано праћење квалитета регулисано је Правилник о стандардима, поступцима - процедурама за обезбеђење и унапређење  квалитета. Правилник дефинише мере и поступке које изводе сви субјекти обезбеђења квалитета, водећи рачуна о стандардима за сваку од области </w:t>
            </w:r>
            <w:r w:rsidRPr="007942AB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 xml:space="preserve">чији се квалитет прати и конролише. Носилац активности праћења, контролисања и </w:t>
            </w: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унапређења квалитета је Комисија за обезбеђење и унапређење квалитета.</w:t>
            </w:r>
          </w:p>
          <w:p w14:paraId="3DB760F8" w14:textId="77777777" w:rsidR="007942AB" w:rsidRPr="007942AB" w:rsidRDefault="007942AB" w:rsidP="007942AB">
            <w:pPr>
              <w:shd w:val="clear" w:color="auto" w:fill="FFFFFF"/>
              <w:spacing w:before="60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Према Правинику о обезбеђивању квалитета сваке треће године врши се </w:t>
            </w:r>
            <w:r w:rsidRPr="007942AB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 xml:space="preserve">периодична провера квалитета свих делатности квалитета. Процес самовредновања </w:t>
            </w: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спроводи Комисија за обезбеђење и унапређење квалитета, а у њему учествују сви субјекти школе. Сваке година прави се пресек у достигнутим постигнућима реализације акционог плана са корективним мерама за побољшања остварења на подручју обезбеђења и унапређења квалитета.</w:t>
            </w:r>
          </w:p>
          <w:p w14:paraId="3F0FD9AC" w14:textId="77777777" w:rsidR="007942AB" w:rsidRPr="007942AB" w:rsidRDefault="007942AB" w:rsidP="007942AB">
            <w:pPr>
              <w:shd w:val="clear" w:color="auto" w:fill="FFFFFF"/>
              <w:spacing w:before="60" w:after="60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5E1E6237" w14:textId="77777777" w:rsidR="007942AB" w:rsidRPr="007942AB" w:rsidRDefault="007942AB" w:rsidP="007942AB">
            <w:pPr>
              <w:shd w:val="clear" w:color="auto" w:fill="FFFFFF"/>
              <w:spacing w:before="6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је остварила циљеве и испунио захатеве постављене Стандардом 14, јер:</w:t>
            </w:r>
          </w:p>
          <w:p w14:paraId="4EAAC3CD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Доследно обезбеђује спровођење утврђених стандарда и поступака за оцењивање квалитета, дефинисаних усвојеним документима: Правилник о самовредновању и оцењивању квалитета студијског програма, наставе и услова рада; Правилник о стандардима, поступцима - процедурама за обезбеђење и унапређење  квалитета; Правилник о самовредновању и оцењивању квалитета студијског програма, наставе и услова рада. </w:t>
            </w:r>
          </w:p>
          <w:p w14:paraId="082677ED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Постоје организациони услови и инфраструктура за редовно, систематско прикупљање и обраду података потребних за оцену квалитета у свим областима које су предмет самовредновања.</w:t>
            </w:r>
          </w:p>
          <w:p w14:paraId="46D37A84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Обезбеђује редовну повратну информацију од послодаваца - свих значајних привредних субјектима и образовних установа у региону.</w:t>
            </w:r>
          </w:p>
          <w:p w14:paraId="3A0FF55E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оквиру сарадње са другим високошколским установама Школа обезбеђује податке потребне за упоређивање у погледу квалитета, што има директног утицаја на унапређивање квалитета и  стратешко поизционирање Школе у односу на своје окружење.</w:t>
            </w:r>
          </w:p>
          <w:p w14:paraId="1144E1B5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Самовредновање се реализује по устаљеној периодици.</w:t>
            </w:r>
          </w:p>
          <w:p w14:paraId="1A9385F8" w14:textId="77777777" w:rsidR="007942AB" w:rsidRPr="007942AB" w:rsidRDefault="007942AB" w:rsidP="007942AB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Резултати евалуација и самовредновања су јавни и доступни свима, наставницима, сарадницима, студентима и јавности.</w:t>
            </w:r>
          </w:p>
          <w:p w14:paraId="28872AD3" w14:textId="77777777" w:rsidR="007942AB" w:rsidRPr="007942AB" w:rsidRDefault="007942AB" w:rsidP="007942AB">
            <w:pPr>
              <w:shd w:val="clear" w:color="auto" w:fill="FFFFFF"/>
              <w:spacing w:before="60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0857DB46" w14:textId="2352C019" w:rsidR="000D46EC" w:rsidRPr="007942AB" w:rsidRDefault="007942AB" w:rsidP="007942AB">
            <w:pPr>
              <w:jc w:val="both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7942A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7942AB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7942A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аналаизе </w:t>
            </w:r>
            <w:r w:rsidRPr="007942AB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7942AB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7942AB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7942AB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</w:tc>
      </w:tr>
      <w:tr w:rsidR="007942AB" w:rsidRPr="008A3554" w14:paraId="412475AB" w14:textId="77777777" w:rsidTr="007942AB">
        <w:trPr>
          <w:trHeight w:val="835"/>
        </w:trPr>
        <w:tc>
          <w:tcPr>
            <w:tcW w:w="2984" w:type="dxa"/>
            <w:vAlign w:val="center"/>
          </w:tcPr>
          <w:p w14:paraId="066097AE" w14:textId="77777777" w:rsidR="007942AB" w:rsidRPr="000175BA" w:rsidRDefault="007942AB" w:rsidP="007942AB">
            <w:pPr>
              <w:pStyle w:val="TableParagrap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SWOT анализа</w:t>
            </w:r>
          </w:p>
          <w:p w14:paraId="42A79E77" w14:textId="77777777" w:rsidR="007942AB" w:rsidRPr="000175BA" w:rsidRDefault="007942AB" w:rsidP="007942AB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spacing w:before="2"/>
              <w:ind w:right="648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 xml:space="preserve">ПРЕДНОСТИ </w:t>
            </w: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(Strеnghts)</w:t>
            </w:r>
          </w:p>
          <w:p w14:paraId="3377142C" w14:textId="77777777" w:rsidR="007942AB" w:rsidRPr="000175BA" w:rsidRDefault="007942AB" w:rsidP="007942AB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ind w:right="364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СЛАБОСТИ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(Weaknesses)</w:t>
            </w:r>
          </w:p>
          <w:p w14:paraId="7A4DA6C2" w14:textId="77777777" w:rsidR="007942AB" w:rsidRPr="000175BA" w:rsidRDefault="007942AB" w:rsidP="007942AB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ind w:right="79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МОГУЋНОСТИ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(Opportunities)</w:t>
            </w:r>
          </w:p>
          <w:p w14:paraId="635E8F5D" w14:textId="10036B52" w:rsidR="007942AB" w:rsidRPr="007942AB" w:rsidRDefault="007942AB" w:rsidP="009A035B">
            <w:pPr>
              <w:pStyle w:val="TableParagraph"/>
              <w:numPr>
                <w:ilvl w:val="0"/>
                <w:numId w:val="33"/>
              </w:numPr>
              <w:tabs>
                <w:tab w:val="left" w:pos="828"/>
              </w:tabs>
              <w:ind w:right="790"/>
              <w:rPr>
                <w:rFonts w:ascii="Arial Narrow" w:hAnsi="Arial Narrow"/>
                <w:color w:val="00000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</w:rPr>
              <w:t>ОПАСНОСТИ</w:t>
            </w:r>
            <w:r w:rsidRPr="000175BA">
              <w:rPr>
                <w:rFonts w:ascii="Arial Narrow" w:hAnsi="Arial Narrow" w:cstheme="minorHAnsi"/>
                <w:b/>
                <w:spacing w:val="-1"/>
              </w:rPr>
              <w:t xml:space="preserve"> </w:t>
            </w:r>
            <w:r w:rsidRPr="000175BA">
              <w:rPr>
                <w:rFonts w:ascii="Arial Narrow" w:hAnsi="Arial Narrow" w:cstheme="minorHAnsi"/>
                <w:b/>
              </w:rPr>
              <w:t>(Threats)</w:t>
            </w:r>
          </w:p>
        </w:tc>
        <w:tc>
          <w:tcPr>
            <w:tcW w:w="2985" w:type="dxa"/>
            <w:vAlign w:val="center"/>
          </w:tcPr>
          <w:p w14:paraId="6E38F297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ПРЕДНОСТИ</w:t>
            </w:r>
          </w:p>
          <w:p w14:paraId="19BF87D7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Установљен континуитет процеса праћења и унапређења квалитета +++</w:t>
            </w:r>
          </w:p>
          <w:p w14:paraId="63CAF5AE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Донета сва документа и мере за обезбеђење квалитета у складу са законом и стандардима +++</w:t>
            </w:r>
          </w:p>
          <w:p w14:paraId="7C400559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Утврђене процедуре и поступци за периодичну проверу свих показатеља +++</w:t>
            </w:r>
          </w:p>
          <w:p w14:paraId="3F1A322D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Сва документа и извештаји су доступни јавности на интернет страници школе +++</w:t>
            </w:r>
          </w:p>
          <w:p w14:paraId="3DAECD2F" w14:textId="6B03B226" w:rsidR="007942AB" w:rsidRPr="007942AB" w:rsidRDefault="007942AB" w:rsidP="009A035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Поступак самовредновања је унапређен од првог до другог </w:t>
            </w:r>
            <w:r w:rsidRPr="000175BA">
              <w:rPr>
                <w:rFonts w:ascii="Arial Narrow" w:hAnsi="Arial Narrow"/>
              </w:rPr>
              <w:lastRenderedPageBreak/>
              <w:t>циклуса ++</w:t>
            </w:r>
          </w:p>
        </w:tc>
        <w:tc>
          <w:tcPr>
            <w:tcW w:w="2985" w:type="dxa"/>
            <w:vAlign w:val="center"/>
          </w:tcPr>
          <w:p w14:paraId="07D658CA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lastRenderedPageBreak/>
              <w:t>СЛАБОСТИ</w:t>
            </w:r>
          </w:p>
          <w:p w14:paraId="4518EFF6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Неажурност и немотивисаност појединих субјеката и студената за реализацију задатака, недостатак санкција и мотивације ++</w:t>
            </w:r>
          </w:p>
          <w:p w14:paraId="68BA7B25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 постоје повратне информације о компетенцијама свршених студената од стране послодаваца и националне службе запошљавања +++</w:t>
            </w:r>
          </w:p>
          <w:p w14:paraId="55131EEB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Недовољна међународна сарадња, усаглашеност и размена искустава у стратегији ++</w:t>
            </w:r>
          </w:p>
          <w:p w14:paraId="752FAD9E" w14:textId="59960D76" w:rsidR="007942AB" w:rsidRPr="007942AB" w:rsidRDefault="007942AB" w:rsidP="007942AB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lastRenderedPageBreak/>
              <w:t>Недовољно се користе подаци контроле квалитета за планирање будућих активности +</w:t>
            </w:r>
          </w:p>
        </w:tc>
      </w:tr>
      <w:tr w:rsidR="007942AB" w:rsidRPr="008A3554" w14:paraId="1F44FD47" w14:textId="77777777" w:rsidTr="00854DEB">
        <w:trPr>
          <w:trHeight w:val="1827"/>
        </w:trPr>
        <w:tc>
          <w:tcPr>
            <w:tcW w:w="2984" w:type="dxa"/>
            <w:vAlign w:val="center"/>
          </w:tcPr>
          <w:p w14:paraId="6C8F5DE0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lastRenderedPageBreak/>
              <w:t>МОГУЋНОСТИ</w:t>
            </w:r>
          </w:p>
          <w:p w14:paraId="53115DCC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Руководство заинтересовано за унапређење система квалитета</w:t>
            </w:r>
          </w:p>
          <w:p w14:paraId="5C484C06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Промоција културе квалитета и спровођење мера према усвојеним правилницима</w:t>
            </w:r>
          </w:p>
          <w:p w14:paraId="5C99781E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Користити веће кадровске и информатичке могућности у процесу контроле и испуњености стандарда квалитета</w:t>
            </w:r>
          </w:p>
          <w:p w14:paraId="06A1ECFF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Даља едукација и обука запослених и студената у поступку спровођења активности самовредновања</w:t>
            </w:r>
          </w:p>
          <w:p w14:paraId="66C0599C" w14:textId="0D0D9ACD" w:rsidR="007942AB" w:rsidRPr="007942AB" w:rsidRDefault="007942AB" w:rsidP="009A035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Искуства из реализованих Темпус пројеката</w:t>
            </w:r>
          </w:p>
        </w:tc>
        <w:tc>
          <w:tcPr>
            <w:tcW w:w="2985" w:type="dxa"/>
            <w:vAlign w:val="center"/>
          </w:tcPr>
          <w:p w14:paraId="5DF86BBC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појачања</w:t>
            </w:r>
          </w:p>
          <w:p w14:paraId="1E49ED28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Користити искуства и стандарде иностраних агенција</w:t>
            </w:r>
          </w:p>
          <w:p w14:paraId="151BD38D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Урадити ревизију докумената из области квалитета</w:t>
            </w:r>
          </w:p>
          <w:p w14:paraId="678F8EA7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Наставити рад на подизању софтверске подршке</w:t>
            </w:r>
          </w:p>
          <w:p w14:paraId="096092FC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Организовати обуку и едукацију запошљених и студената</w:t>
            </w:r>
          </w:p>
          <w:p w14:paraId="7C3AAB3B" w14:textId="58F379C1" w:rsidR="007942AB" w:rsidRPr="007942AB" w:rsidRDefault="007942AB" w:rsidP="007942AB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Дефинисати мерљиве параметре за праћење квалитета исхода образовања и учења</w:t>
            </w:r>
          </w:p>
        </w:tc>
        <w:tc>
          <w:tcPr>
            <w:tcW w:w="2985" w:type="dxa"/>
            <w:vAlign w:val="center"/>
          </w:tcPr>
          <w:p w14:paraId="0F92C166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уклањања слабости</w:t>
            </w:r>
          </w:p>
          <w:p w14:paraId="0C122932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Санкционисати непоступање по постојећим одлукама и правилима и стимулисати учешће запослених и студената на пословима квалитета</w:t>
            </w:r>
          </w:p>
          <w:p w14:paraId="2FC30D0D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Обезбедити повратне информације о компетенцијама свршених студената преко послодаваца и Националне службе запошљавања</w:t>
            </w:r>
          </w:p>
          <w:p w14:paraId="71C7F669" w14:textId="68D873CD" w:rsidR="007942AB" w:rsidRPr="007942AB" w:rsidRDefault="007942AB" w:rsidP="009A035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Остварити међународну сарадњу за област квалитета и увести место </w:t>
            </w:r>
            <w:r>
              <w:rPr>
                <w:rFonts w:ascii="Arial Narrow" w:hAnsi="Arial Narrow"/>
                <w:lang w:val="sr-Cyrl-RS"/>
              </w:rPr>
              <w:t>руководиоца</w:t>
            </w:r>
            <w:r w:rsidRPr="000175BA">
              <w:rPr>
                <w:rFonts w:ascii="Arial Narrow" w:hAnsi="Arial Narrow"/>
              </w:rPr>
              <w:t xml:space="preserve"> за послове квалитета</w:t>
            </w:r>
          </w:p>
        </w:tc>
      </w:tr>
      <w:tr w:rsidR="007942AB" w:rsidRPr="008A3554" w14:paraId="0359B4AE" w14:textId="77777777" w:rsidTr="00854DEB">
        <w:trPr>
          <w:trHeight w:val="1827"/>
        </w:trPr>
        <w:tc>
          <w:tcPr>
            <w:tcW w:w="2984" w:type="dxa"/>
            <w:vAlign w:val="center"/>
          </w:tcPr>
          <w:p w14:paraId="52DF75A2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ОПАСНОСТИ</w:t>
            </w:r>
          </w:p>
          <w:p w14:paraId="61B0B2D9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 постоји дефинисана административно- техничка подршка Комисији за праћење квалитета ++</w:t>
            </w:r>
          </w:p>
          <w:p w14:paraId="52CA175B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Недовољно развијена свест дела запослених и студената о значају квалитета рада у складу са Болоњским принципима ++</w:t>
            </w:r>
          </w:p>
          <w:p w14:paraId="39976BC9" w14:textId="2DEEE6CF" w:rsidR="007942AB" w:rsidRPr="007942AB" w:rsidRDefault="007942AB" w:rsidP="009A035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У задње три године није спроведен поступак самовредновања  +++</w:t>
            </w:r>
          </w:p>
        </w:tc>
        <w:tc>
          <w:tcPr>
            <w:tcW w:w="2985" w:type="dxa"/>
            <w:vAlign w:val="center"/>
          </w:tcPr>
          <w:p w14:paraId="41196A7E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превенције</w:t>
            </w:r>
          </w:p>
          <w:p w14:paraId="07172EB5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Обезбедити административно – техничку подршку Комисији за обезбеђење квалитета</w:t>
            </w:r>
          </w:p>
          <w:p w14:paraId="1F677B72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Спровести едукацију студената и запослених о значају система квалитета и стандардима</w:t>
            </w:r>
          </w:p>
          <w:p w14:paraId="5FF785E6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 xml:space="preserve">У буџету </w:t>
            </w:r>
            <w:r w:rsidRPr="00A82C0D">
              <w:rPr>
                <w:rFonts w:ascii="Arial Narrow" w:hAnsi="Arial Narrow"/>
              </w:rPr>
              <w:t>Школе</w:t>
            </w:r>
            <w:r w:rsidRPr="000175BA">
              <w:rPr>
                <w:rFonts w:ascii="Arial Narrow" w:hAnsi="Arial Narrow"/>
              </w:rPr>
              <w:t xml:space="preserve"> предвидети средства за рад на пословима квалитета</w:t>
            </w:r>
          </w:p>
          <w:p w14:paraId="010EC342" w14:textId="35D8BF51" w:rsidR="007942AB" w:rsidRPr="007942AB" w:rsidRDefault="007942AB" w:rsidP="009A035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Поступак самовредновања спроводити према Правилнику </w:t>
            </w:r>
          </w:p>
        </w:tc>
        <w:tc>
          <w:tcPr>
            <w:tcW w:w="2985" w:type="dxa"/>
            <w:vAlign w:val="center"/>
          </w:tcPr>
          <w:p w14:paraId="57305C71" w14:textId="77777777" w:rsidR="007942AB" w:rsidRPr="000175BA" w:rsidRDefault="007942AB" w:rsidP="007942AB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елиминације</w:t>
            </w:r>
          </w:p>
          <w:p w14:paraId="755748F8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Заменити чланове Комисије за обезбеђење квалитета који се недовољно ангажују</w:t>
            </w:r>
          </w:p>
          <w:p w14:paraId="30973DD8" w14:textId="77777777" w:rsidR="007942AB" w:rsidRPr="000175BA" w:rsidRDefault="007942AB" w:rsidP="007942AB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Осавременити процедуре из области контроле квалитета софтверским праћењем параметара квалитета</w:t>
            </w:r>
          </w:p>
          <w:p w14:paraId="2E656829" w14:textId="77777777" w:rsidR="007942AB" w:rsidRPr="007942AB" w:rsidRDefault="007942AB" w:rsidP="007942AB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</w:p>
        </w:tc>
      </w:tr>
      <w:tr w:rsidR="007942AB" w:rsidRPr="008A3554" w14:paraId="52E1C8AC" w14:textId="77777777" w:rsidTr="007942AB">
        <w:trPr>
          <w:trHeight w:val="2394"/>
        </w:trPr>
        <w:tc>
          <w:tcPr>
            <w:tcW w:w="8954" w:type="dxa"/>
            <w:gridSpan w:val="3"/>
          </w:tcPr>
          <w:p w14:paraId="38A05121" w14:textId="77777777" w:rsidR="007942AB" w:rsidRPr="008A3554" w:rsidRDefault="007942AB" w:rsidP="007942AB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8A355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8A3554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8A355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A3554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8A355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795534DA" w14:textId="77777777" w:rsidR="007942AB" w:rsidRPr="00D70CF8" w:rsidRDefault="007942AB" w:rsidP="007942AB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Pr="008A3554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Професионализација функције квалитета, односно додела Комисији за обезбеђење квалитета једног референта чија би улога била да континуирано прати све активности Комисије по Правилнику о самовредновању и оцењивању квалитета информише   Комисију о потреби предузимања одговарајуће активности.</w:t>
            </w:r>
          </w:p>
          <w:p w14:paraId="54D9958A" w14:textId="77777777" w:rsidR="007942AB" w:rsidRPr="00D70CF8" w:rsidRDefault="007942AB" w:rsidP="007942AB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D70CF8">
              <w:rPr>
                <w:rFonts w:ascii="Arial Narrow" w:eastAsia="Batang" w:hAnsi="Arial Narrow"/>
                <w:sz w:val="22"/>
                <w:szCs w:val="22"/>
                <w:lang w:val="sr-Cyrl-RS" w:eastAsia="ko-KR"/>
              </w:rPr>
              <w:t xml:space="preserve"> </w:t>
            </w:r>
            <w:r w:rsidRPr="00D70CF8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в2) 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Изградња механизма посебног мотивисања чланова Комисије за обезбеђење квалитета за истрајавање на континуираном спровођењу квалитета.</w:t>
            </w:r>
          </w:p>
          <w:p w14:paraId="07A1525F" w14:textId="3A4AC333" w:rsidR="007942AB" w:rsidRPr="007942AB" w:rsidRDefault="007942AB" w:rsidP="007942AB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D70CF8">
              <w:rPr>
                <w:rFonts w:ascii="Arial Narrow" w:hAnsi="Arial Narrow"/>
                <w:bCs/>
                <w:iCs/>
                <w:sz w:val="22"/>
                <w:szCs w:val="22"/>
                <w:lang w:val="sr-Cyrl-CS"/>
              </w:rPr>
              <w:t>в3)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Размотрити могућност повећања броја чланова Комисије за квалитет, уз претходну измену аката Факултета који обрађују овај елемент.</w:t>
            </w:r>
          </w:p>
        </w:tc>
      </w:tr>
      <w:tr w:rsidR="004570F9" w:rsidRPr="008A3554" w14:paraId="7C48E6ED" w14:textId="77777777" w:rsidTr="0058460B">
        <w:tc>
          <w:tcPr>
            <w:tcW w:w="8954" w:type="dxa"/>
            <w:gridSpan w:val="3"/>
          </w:tcPr>
          <w:p w14:paraId="34D2DD05" w14:textId="77777777" w:rsidR="004570F9" w:rsidRPr="008A3554" w:rsidRDefault="004570F9" w:rsidP="00D70CF8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д) </w:t>
            </w:r>
            <w:r w:rsidRPr="008A3554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14</w:t>
            </w:r>
          </w:p>
          <w:p w14:paraId="5EDA8620" w14:textId="76D3991B" w:rsidR="004570F9" w:rsidRDefault="00011296" w:rsidP="00D70CF8">
            <w:pPr>
              <w:widowControl/>
              <w:autoSpaceDE/>
              <w:adjustRightInd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bookmarkStart w:id="0" w:name="_Hlk41213418"/>
            <w:r w:rsidRPr="003052D7">
              <w:rPr>
                <w:rFonts w:ascii="Arial Narrow" w:hAnsi="Arial Narrow"/>
                <w:b/>
                <w:sz w:val="22"/>
                <w:szCs w:val="22"/>
                <w:lang w:val="en-US"/>
              </w:rPr>
              <w:t>Прилог 14.1</w:t>
            </w:r>
            <w:r w:rsidRPr="008A3554">
              <w:rPr>
                <w:rFonts w:ascii="Arial Narrow" w:hAnsi="Arial Narrow"/>
                <w:sz w:val="22"/>
                <w:szCs w:val="22"/>
                <w:lang w:val="en-US"/>
              </w:rPr>
              <w:t xml:space="preserve"> Информације презентоване на сајту  високошколске  установе  о активностима  које  обезбеђују  систематско  праћење  и  периодичну  проверу квалитета  у  циљу  одржавања  и унапређење  квалитета  рада  високошколске установе.</w:t>
            </w:r>
            <w:bookmarkEnd w:id="0"/>
            <w:r w:rsidR="003052D7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hyperlink r:id="rId7" w:history="1">
              <w:r w:rsidR="003052D7" w:rsidRPr="005859FE">
                <w:rPr>
                  <w:rStyle w:val="Hyperlink"/>
                  <w:rFonts w:ascii="Arial Narrow" w:hAnsi="Arial Narrow"/>
                  <w:sz w:val="22"/>
                  <w:szCs w:val="22"/>
                  <w:lang w:val="en-US"/>
                </w:rPr>
                <w:t>https://medika.edu.rs/</w:t>
              </w:r>
            </w:hyperlink>
            <w:bookmarkStart w:id="1" w:name="_GoBack"/>
            <w:bookmarkEnd w:id="1"/>
          </w:p>
          <w:p w14:paraId="1875DA6B" w14:textId="734CA81E" w:rsidR="003052D7" w:rsidRPr="008A3554" w:rsidRDefault="003052D7" w:rsidP="00D70CF8">
            <w:pPr>
              <w:widowControl/>
              <w:autoSpaceDE/>
              <w:adjustRightInd/>
              <w:jc w:val="both"/>
              <w:rPr>
                <w:rFonts w:ascii="Arial Narrow" w:hAnsi="Arial Narrow"/>
                <w:color w:val="0000FF"/>
                <w:sz w:val="22"/>
                <w:szCs w:val="22"/>
                <w:lang w:val="sr-Cyrl-CS"/>
              </w:rPr>
            </w:pPr>
          </w:p>
        </w:tc>
      </w:tr>
    </w:tbl>
    <w:p w14:paraId="16AA4723" w14:textId="77777777" w:rsidR="002D1A8E" w:rsidRPr="008A3554" w:rsidRDefault="002D1A8E" w:rsidP="001835C2">
      <w:pPr>
        <w:rPr>
          <w:rFonts w:ascii="Arial Narrow" w:hAnsi="Arial Narrow"/>
          <w:lang w:val="sr-Latn-RS"/>
        </w:rPr>
      </w:pPr>
    </w:p>
    <w:sectPr w:rsidR="002D1A8E" w:rsidRPr="008A3554" w:rsidSect="008A3A7E">
      <w:pgSz w:w="11907" w:h="16840" w:code="9"/>
      <w:pgMar w:top="14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FE7DA" w14:textId="77777777" w:rsidR="008A3A7E" w:rsidRDefault="008A3A7E" w:rsidP="008A3A7E">
      <w:r>
        <w:separator/>
      </w:r>
    </w:p>
  </w:endnote>
  <w:endnote w:type="continuationSeparator" w:id="0">
    <w:p w14:paraId="5ED7EB97" w14:textId="77777777" w:rsidR="008A3A7E" w:rsidRDefault="008A3A7E" w:rsidP="008A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D602D" w14:textId="77777777" w:rsidR="008A3A7E" w:rsidRDefault="008A3A7E" w:rsidP="008A3A7E">
      <w:r>
        <w:separator/>
      </w:r>
    </w:p>
  </w:footnote>
  <w:footnote w:type="continuationSeparator" w:id="0">
    <w:p w14:paraId="3AD3ED9B" w14:textId="77777777" w:rsidR="008A3A7E" w:rsidRDefault="008A3A7E" w:rsidP="008A3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048E226"/>
    <w:lvl w:ilvl="0">
      <w:numFmt w:val="bullet"/>
      <w:lvlText w:val="*"/>
      <w:lvlJc w:val="left"/>
    </w:lvl>
  </w:abstractNum>
  <w:abstractNum w:abstractNumId="1">
    <w:nsid w:val="00000009"/>
    <w:multiLevelType w:val="singleLevel"/>
    <w:tmpl w:val="11FC4BBA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20C2AF7"/>
    <w:multiLevelType w:val="hybridMultilevel"/>
    <w:tmpl w:val="1144A01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C5FAF"/>
    <w:multiLevelType w:val="hybridMultilevel"/>
    <w:tmpl w:val="27880FAE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A1440"/>
    <w:multiLevelType w:val="multilevel"/>
    <w:tmpl w:val="B3F416CA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6">
    <w:nsid w:val="112868D4"/>
    <w:multiLevelType w:val="hybridMultilevel"/>
    <w:tmpl w:val="CF66F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3060B46"/>
    <w:multiLevelType w:val="hybridMultilevel"/>
    <w:tmpl w:val="5A469DE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8C8715D"/>
    <w:multiLevelType w:val="multilevel"/>
    <w:tmpl w:val="773E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12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8249DF"/>
    <w:multiLevelType w:val="multilevel"/>
    <w:tmpl w:val="B3F416CA"/>
    <w:lvl w:ilvl="0">
      <w:start w:val="1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4207D19"/>
    <w:multiLevelType w:val="hybridMultilevel"/>
    <w:tmpl w:val="D61EFC9E"/>
    <w:lvl w:ilvl="0" w:tplc="11FC4BB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47E11D4"/>
    <w:multiLevelType w:val="multilevel"/>
    <w:tmpl w:val="B3F416CA"/>
    <w:lvl w:ilvl="0">
      <w:start w:val="1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848426B"/>
    <w:multiLevelType w:val="hybridMultilevel"/>
    <w:tmpl w:val="A824E9A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533931"/>
    <w:multiLevelType w:val="hybridMultilevel"/>
    <w:tmpl w:val="B8E84F3A"/>
    <w:lvl w:ilvl="0" w:tplc="BAE2171C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C94F026">
      <w:numFmt w:val="bullet"/>
      <w:lvlText w:val="•"/>
      <w:lvlJc w:val="left"/>
      <w:pPr>
        <w:ind w:left="1258" w:hanging="360"/>
      </w:pPr>
    </w:lvl>
    <w:lvl w:ilvl="2" w:tplc="A8B6E09A">
      <w:numFmt w:val="bullet"/>
      <w:lvlText w:val="•"/>
      <w:lvlJc w:val="left"/>
      <w:pPr>
        <w:ind w:left="1696" w:hanging="360"/>
      </w:pPr>
    </w:lvl>
    <w:lvl w:ilvl="3" w:tplc="109ED304">
      <w:numFmt w:val="bullet"/>
      <w:lvlText w:val="•"/>
      <w:lvlJc w:val="left"/>
      <w:pPr>
        <w:ind w:left="2134" w:hanging="360"/>
      </w:pPr>
    </w:lvl>
    <w:lvl w:ilvl="4" w:tplc="BE6EF7CC">
      <w:numFmt w:val="bullet"/>
      <w:lvlText w:val="•"/>
      <w:lvlJc w:val="left"/>
      <w:pPr>
        <w:ind w:left="2572" w:hanging="360"/>
      </w:pPr>
    </w:lvl>
    <w:lvl w:ilvl="5" w:tplc="DB3639CE">
      <w:numFmt w:val="bullet"/>
      <w:lvlText w:val="•"/>
      <w:lvlJc w:val="left"/>
      <w:pPr>
        <w:ind w:left="3010" w:hanging="360"/>
      </w:pPr>
    </w:lvl>
    <w:lvl w:ilvl="6" w:tplc="05FA8018">
      <w:numFmt w:val="bullet"/>
      <w:lvlText w:val="•"/>
      <w:lvlJc w:val="left"/>
      <w:pPr>
        <w:ind w:left="3448" w:hanging="360"/>
      </w:pPr>
    </w:lvl>
    <w:lvl w:ilvl="7" w:tplc="8B6C0E5E">
      <w:numFmt w:val="bullet"/>
      <w:lvlText w:val="•"/>
      <w:lvlJc w:val="left"/>
      <w:pPr>
        <w:ind w:left="3886" w:hanging="360"/>
      </w:pPr>
    </w:lvl>
    <w:lvl w:ilvl="8" w:tplc="85A6D788">
      <w:numFmt w:val="bullet"/>
      <w:lvlText w:val="•"/>
      <w:lvlJc w:val="left"/>
      <w:pPr>
        <w:ind w:left="4324" w:hanging="360"/>
      </w:pPr>
    </w:lvl>
  </w:abstractNum>
  <w:abstractNum w:abstractNumId="23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E010C40"/>
    <w:multiLevelType w:val="hybridMultilevel"/>
    <w:tmpl w:val="4FBE7B2C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D7794D"/>
    <w:multiLevelType w:val="multilevel"/>
    <w:tmpl w:val="CA8E3A26"/>
    <w:lvl w:ilvl="0">
      <w:start w:val="1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7FC58AD"/>
    <w:multiLevelType w:val="hybridMultilevel"/>
    <w:tmpl w:val="7C3A582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680AFF"/>
    <w:multiLevelType w:val="hybridMultilevel"/>
    <w:tmpl w:val="F78E857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25"/>
  </w:num>
  <w:num w:numId="7">
    <w:abstractNumId w:val="15"/>
  </w:num>
  <w:num w:numId="8">
    <w:abstractNumId w:val="28"/>
  </w:num>
  <w:num w:numId="9">
    <w:abstractNumId w:val="13"/>
  </w:num>
  <w:num w:numId="10">
    <w:abstractNumId w:val="31"/>
  </w:num>
  <w:num w:numId="11">
    <w:abstractNumId w:val="7"/>
  </w:num>
  <w:num w:numId="12">
    <w:abstractNumId w:val="29"/>
  </w:num>
  <w:num w:numId="13">
    <w:abstractNumId w:val="17"/>
  </w:num>
  <w:num w:numId="14">
    <w:abstractNumId w:val="9"/>
  </w:num>
  <w:num w:numId="15">
    <w:abstractNumId w:val="30"/>
  </w:num>
  <w:num w:numId="16">
    <w:abstractNumId w:val="24"/>
  </w:num>
  <w:num w:numId="17">
    <w:abstractNumId w:val="16"/>
  </w:num>
  <w:num w:numId="18">
    <w:abstractNumId w:val="4"/>
  </w:num>
  <w:num w:numId="19">
    <w:abstractNumId w:val="20"/>
  </w:num>
  <w:num w:numId="20">
    <w:abstractNumId w:val="14"/>
  </w:num>
  <w:num w:numId="21">
    <w:abstractNumId w:val="27"/>
  </w:num>
  <w:num w:numId="22">
    <w:abstractNumId w:val="11"/>
  </w:num>
  <w:num w:numId="23">
    <w:abstractNumId w:val="6"/>
  </w:num>
  <w:num w:numId="24">
    <w:abstractNumId w:val="19"/>
  </w:num>
  <w:num w:numId="25">
    <w:abstractNumId w:val="2"/>
  </w:num>
  <w:num w:numId="26">
    <w:abstractNumId w:val="21"/>
  </w:num>
  <w:num w:numId="27">
    <w:abstractNumId w:val="8"/>
  </w:num>
  <w:num w:numId="28">
    <w:abstractNumId w:val="33"/>
  </w:num>
  <w:num w:numId="29">
    <w:abstractNumId w:val="1"/>
  </w:num>
  <w:num w:numId="30">
    <w:abstractNumId w:val="26"/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3"/>
  </w:num>
  <w:num w:numId="33">
    <w:abstractNumId w:val="2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06444"/>
    <w:rsid w:val="00011296"/>
    <w:rsid w:val="00017541"/>
    <w:rsid w:val="00024C61"/>
    <w:rsid w:val="0005395E"/>
    <w:rsid w:val="00093269"/>
    <w:rsid w:val="000D46EC"/>
    <w:rsid w:val="000E0886"/>
    <w:rsid w:val="000E496B"/>
    <w:rsid w:val="00107EBC"/>
    <w:rsid w:val="001119C0"/>
    <w:rsid w:val="001530E6"/>
    <w:rsid w:val="001551F6"/>
    <w:rsid w:val="001651DE"/>
    <w:rsid w:val="001835C2"/>
    <w:rsid w:val="001A0A25"/>
    <w:rsid w:val="001C0702"/>
    <w:rsid w:val="001C6BC4"/>
    <w:rsid w:val="001D4DCC"/>
    <w:rsid w:val="001E66F0"/>
    <w:rsid w:val="00216204"/>
    <w:rsid w:val="002373A3"/>
    <w:rsid w:val="00262029"/>
    <w:rsid w:val="0027391D"/>
    <w:rsid w:val="0028338D"/>
    <w:rsid w:val="002D1A8E"/>
    <w:rsid w:val="00301595"/>
    <w:rsid w:val="00302801"/>
    <w:rsid w:val="003052D7"/>
    <w:rsid w:val="00327BA6"/>
    <w:rsid w:val="0034172A"/>
    <w:rsid w:val="00350E71"/>
    <w:rsid w:val="00380685"/>
    <w:rsid w:val="003A6DD4"/>
    <w:rsid w:val="003A78D5"/>
    <w:rsid w:val="003B1B68"/>
    <w:rsid w:val="003C3B77"/>
    <w:rsid w:val="004106E6"/>
    <w:rsid w:val="004570F9"/>
    <w:rsid w:val="0045752B"/>
    <w:rsid w:val="00475AA8"/>
    <w:rsid w:val="004B5EE2"/>
    <w:rsid w:val="004C5FC5"/>
    <w:rsid w:val="005064BD"/>
    <w:rsid w:val="005305DD"/>
    <w:rsid w:val="00530F59"/>
    <w:rsid w:val="0054314A"/>
    <w:rsid w:val="00560F9A"/>
    <w:rsid w:val="0058460B"/>
    <w:rsid w:val="005848EA"/>
    <w:rsid w:val="005A5B1C"/>
    <w:rsid w:val="005E53D3"/>
    <w:rsid w:val="00622AC2"/>
    <w:rsid w:val="00676B6E"/>
    <w:rsid w:val="006B5D21"/>
    <w:rsid w:val="00716F23"/>
    <w:rsid w:val="0074148A"/>
    <w:rsid w:val="007416E3"/>
    <w:rsid w:val="00756330"/>
    <w:rsid w:val="00794002"/>
    <w:rsid w:val="007942AB"/>
    <w:rsid w:val="007B2F3C"/>
    <w:rsid w:val="007E5FB7"/>
    <w:rsid w:val="00813EBA"/>
    <w:rsid w:val="00817F30"/>
    <w:rsid w:val="00841455"/>
    <w:rsid w:val="00895466"/>
    <w:rsid w:val="008A162A"/>
    <w:rsid w:val="008A3554"/>
    <w:rsid w:val="008A3A7E"/>
    <w:rsid w:val="008D4A65"/>
    <w:rsid w:val="0096578A"/>
    <w:rsid w:val="00985691"/>
    <w:rsid w:val="009A035B"/>
    <w:rsid w:val="009A0782"/>
    <w:rsid w:val="009D7D41"/>
    <w:rsid w:val="00A103A5"/>
    <w:rsid w:val="00A1554F"/>
    <w:rsid w:val="00A223D5"/>
    <w:rsid w:val="00A57591"/>
    <w:rsid w:val="00A759C2"/>
    <w:rsid w:val="00A842CD"/>
    <w:rsid w:val="00AA2906"/>
    <w:rsid w:val="00AB15BE"/>
    <w:rsid w:val="00AD252F"/>
    <w:rsid w:val="00AD503C"/>
    <w:rsid w:val="00AD55A6"/>
    <w:rsid w:val="00B07880"/>
    <w:rsid w:val="00B37707"/>
    <w:rsid w:val="00B54B67"/>
    <w:rsid w:val="00B765AB"/>
    <w:rsid w:val="00B816CC"/>
    <w:rsid w:val="00B9695F"/>
    <w:rsid w:val="00BC5366"/>
    <w:rsid w:val="00C05046"/>
    <w:rsid w:val="00C7783A"/>
    <w:rsid w:val="00C824A6"/>
    <w:rsid w:val="00CE1D57"/>
    <w:rsid w:val="00CF799E"/>
    <w:rsid w:val="00D3469A"/>
    <w:rsid w:val="00D70CF8"/>
    <w:rsid w:val="00DD53DA"/>
    <w:rsid w:val="00E13974"/>
    <w:rsid w:val="00E3057E"/>
    <w:rsid w:val="00E47910"/>
    <w:rsid w:val="00E869D0"/>
    <w:rsid w:val="00E90727"/>
    <w:rsid w:val="00EB1637"/>
    <w:rsid w:val="00EC0F08"/>
    <w:rsid w:val="00EE657B"/>
    <w:rsid w:val="00F45DEC"/>
    <w:rsid w:val="00FC1C7D"/>
    <w:rsid w:val="00FD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869DE"/>
  <w15:chartTrackingRefBased/>
  <w15:docId w15:val="{0F2B30DE-7CEF-47D0-84D0-88AB0C02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79400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4DC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064BD"/>
    <w:rPr>
      <w:color w:val="0000FF"/>
      <w:u w:val="single"/>
    </w:rPr>
  </w:style>
  <w:style w:type="character" w:styleId="FollowedHyperlink">
    <w:name w:val="FollowedHyperlink"/>
    <w:rsid w:val="005064BD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B5EE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94002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8A3A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A3A7E"/>
    <w:rPr>
      <w:lang w:val="sr-Latn-CS" w:eastAsia="sr-Latn-CS"/>
    </w:rPr>
  </w:style>
  <w:style w:type="paragraph" w:styleId="Footer">
    <w:name w:val="footer"/>
    <w:basedOn w:val="Normal"/>
    <w:link w:val="FooterChar"/>
    <w:rsid w:val="008A3A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3A7E"/>
    <w:rPr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7942AB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dika.edu.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889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6659</CharactersWithSpaces>
  <SharedDoc>false</SharedDoc>
  <HLinks>
    <vt:vector size="42" baseType="variant">
      <vt:variant>
        <vt:i4>2031621</vt:i4>
      </vt:variant>
      <vt:variant>
        <vt:i4>18</vt:i4>
      </vt:variant>
      <vt:variant>
        <vt:i4>0</vt:i4>
      </vt:variant>
      <vt:variant>
        <vt:i4>5</vt:i4>
      </vt:variant>
      <vt:variant>
        <vt:lpwstr>../Prilozi/P.14.1.doc</vt:lpwstr>
      </vt:variant>
      <vt:variant>
        <vt:lpwstr/>
      </vt:variant>
      <vt:variant>
        <vt:i4>393303</vt:i4>
      </vt:variant>
      <vt:variant>
        <vt:i4>15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393303</vt:i4>
      </vt:variant>
      <vt:variant>
        <vt:i4>6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58</cp:revision>
  <dcterms:created xsi:type="dcterms:W3CDTF">2019-05-23T10:41:00Z</dcterms:created>
  <dcterms:modified xsi:type="dcterms:W3CDTF">2022-12-26T12:37:00Z</dcterms:modified>
</cp:coreProperties>
</file>