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2147A5" w:rsidRPr="00797699" w14:paraId="7162CA12" w14:textId="77777777" w:rsidTr="002147A5">
        <w:tc>
          <w:tcPr>
            <w:tcW w:w="8954" w:type="dxa"/>
            <w:shd w:val="clear" w:color="auto" w:fill="E0E0E0"/>
          </w:tcPr>
          <w:p w14:paraId="3E88243A" w14:textId="77777777" w:rsidR="00642C1C" w:rsidRPr="00797699" w:rsidRDefault="00642C1C" w:rsidP="00B91232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797699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10: Квалитет управљања високошколском установом и квалитет ненаставне</w:t>
            </w:r>
          </w:p>
          <w:p w14:paraId="07E28D9B" w14:textId="77777777" w:rsidR="00642C1C" w:rsidRPr="00797699" w:rsidRDefault="00642C1C" w:rsidP="00B91232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797699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подршке</w:t>
            </w:r>
          </w:p>
          <w:p w14:paraId="195F2031" w14:textId="77777777" w:rsidR="00642C1C" w:rsidRPr="00797699" w:rsidRDefault="00642C1C" w:rsidP="00B91232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797699">
              <w:rPr>
                <w:rFonts w:ascii="Arial Narrow" w:hAnsi="Arial Narrow"/>
                <w:sz w:val="22"/>
                <w:szCs w:val="22"/>
                <w:lang w:val="sr-Cyrl-CS"/>
              </w:rPr>
      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рада.</w:t>
            </w:r>
          </w:p>
        </w:tc>
      </w:tr>
      <w:tr w:rsidR="00642C1C" w:rsidRPr="00797699" w14:paraId="14E32AED" w14:textId="77777777" w:rsidTr="002147A5">
        <w:tc>
          <w:tcPr>
            <w:tcW w:w="8954" w:type="dxa"/>
          </w:tcPr>
          <w:p w14:paraId="2A6734F5" w14:textId="77777777" w:rsidR="00033937" w:rsidRPr="002F7285" w:rsidRDefault="00033937" w:rsidP="00033937">
            <w:pPr>
              <w:pStyle w:val="TableParagraph"/>
              <w:ind w:left="108"/>
              <w:rPr>
                <w:rFonts w:ascii="Arial Narrow" w:hAnsi="Arial Narrow" w:cstheme="minorHAnsi"/>
                <w:b/>
              </w:rPr>
            </w:pPr>
            <w:r w:rsidRPr="002F7285">
              <w:rPr>
                <w:rFonts w:ascii="Arial Narrow" w:hAnsi="Arial Narrow" w:cstheme="minorHAnsi"/>
                <w:b/>
              </w:rPr>
              <w:t>а) Опис стања, анализа и процена стандарда 10</w:t>
            </w:r>
          </w:p>
          <w:p w14:paraId="54675958" w14:textId="77777777" w:rsidR="00033937" w:rsidRPr="009D30BE" w:rsidRDefault="00033937" w:rsidP="0003393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b/>
                <w:color w:val="FF0000"/>
                <w:lang w:val="sr-Cyrl-CS"/>
              </w:rPr>
            </w:pPr>
            <w:r w:rsidRPr="009D30BE">
              <w:rPr>
                <w:rFonts w:ascii="Arial Narrow" w:hAnsi="Arial Narrow"/>
                <w:color w:val="000000"/>
                <w:lang w:val="sr-Cyrl-CS"/>
              </w:rPr>
              <w:t xml:space="preserve">Надлежности и одговорности органа управљања, органа пословођења, стручних органа, Студентског парламента и стручних служби као ненаставне подршке реализацији наставног процеса, дефинисане су Статутом и другим општим актима </w:t>
            </w:r>
            <w:r>
              <w:rPr>
                <w:rFonts w:ascii="Arial Narrow" w:hAnsi="Arial Narrow"/>
                <w:lang w:val="ru-RU"/>
              </w:rPr>
              <w:t>Школе</w:t>
            </w:r>
            <w:r w:rsidRPr="009D30BE">
              <w:rPr>
                <w:rFonts w:ascii="Arial Narrow" w:hAnsi="Arial Narrow"/>
                <w:lang w:val="ru-RU"/>
              </w:rPr>
              <w:t xml:space="preserve">, у складу са законом. </w:t>
            </w:r>
            <w:r w:rsidRPr="009D30BE">
              <w:rPr>
                <w:rFonts w:ascii="Arial Narrow" w:hAnsi="Arial Narrow"/>
                <w:color w:val="000000"/>
                <w:lang w:val="sr-Cyrl-CS"/>
              </w:rPr>
              <w:t>Правилником о организацији послова и систематизацији радних места ближе се уређује организација рада и систематизација послова и радних задатака.</w:t>
            </w:r>
          </w:p>
          <w:p w14:paraId="1BDB639B" w14:textId="77777777" w:rsidR="00033937" w:rsidRPr="009D30BE" w:rsidRDefault="00033937" w:rsidP="00033937">
            <w:pPr>
              <w:pStyle w:val="mira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9D30BE">
              <w:rPr>
                <w:rFonts w:ascii="Arial Narrow" w:hAnsi="Arial Narrow"/>
                <w:szCs w:val="22"/>
                <w:lang w:val="ru-RU"/>
              </w:rPr>
              <w:t xml:space="preserve">Орган управљања Школе је Савет. </w:t>
            </w:r>
          </w:p>
          <w:p w14:paraId="4A88F498" w14:textId="77777777" w:rsidR="00033937" w:rsidRPr="009D30BE" w:rsidRDefault="00033937" w:rsidP="00033937">
            <w:pPr>
              <w:pStyle w:val="mira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9D30BE">
              <w:rPr>
                <w:rFonts w:ascii="Arial Narrow" w:hAnsi="Arial Narrow"/>
                <w:szCs w:val="22"/>
                <w:lang w:val="ru-RU"/>
              </w:rPr>
              <w:t>Орган пословођења је директор. Директор Школе се бира из реда професора Школе који су у радном односу са пуним радним временом, а изабрани су на неодређено време. За директора може бити изабран наставник Школе који осим услова утврђених Законом и Статутом Школе има способности за организовање и вођење послова, што се утврђује на основу резултата рада до избора, односно програмом рада.</w:t>
            </w:r>
          </w:p>
          <w:p w14:paraId="031C4968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Савет Школе и директор Школе образују по потреби своје сталне или повремене комисије, чији састав и надлежност утврђују одлуком.</w:t>
            </w:r>
          </w:p>
          <w:p w14:paraId="6F38DA9E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Наставно веће је стручни орган Школе кога чине наставници у звању предавача, професора струковних студија и наставника страних језика, који су у радном односу у Школи са најмање 50% радног времена. Наставно веће одлучује о питањима од интереса за реализацију наставе.При расправљању, односно одлучивању о питањима која се односе на осигурање квалитета наставе, реформу студијских програма, анализ</w:t>
            </w:r>
            <w:r w:rsidRPr="009D30BE">
              <w:rPr>
                <w:rFonts w:ascii="Arial Narrow" w:hAnsi="Arial Narrow"/>
                <w:lang w:val="sr-Cyrl-CS"/>
              </w:rPr>
              <w:t>у</w:t>
            </w:r>
            <w:r w:rsidRPr="009D30BE">
              <w:rPr>
                <w:rFonts w:ascii="Arial Narrow" w:hAnsi="Arial Narrow"/>
                <w:lang w:val="ru-RU"/>
              </w:rPr>
              <w:t xml:space="preserve"> ефикасности студирања и утврђивање броја ЕСПБ бодова, у Наставном већу учествују представници студената.</w:t>
            </w:r>
          </w:p>
          <w:p w14:paraId="7327D64F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Студентски парламент је орган Школе, који се организује ради заштите права и интереса студената. Право да бирају и да буду бирани за члана студентског парламента имају сви студенти Школе уписани на студије у школској години у којој се бира студентски парламент.</w:t>
            </w:r>
          </w:p>
          <w:p w14:paraId="5A558FA8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 xml:space="preserve">Делокруг рада организационих јединица, као и њихова координација и контрола, утврђени су Статутом Школе. </w:t>
            </w:r>
          </w:p>
          <w:p w14:paraId="1F74FCB8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Школа утврђује стратегију обезбеђења квалитета наставног процеса, управљања установом, ненаставних активности, као и услова рада и студирања. Образује посебну Комисију за квалитет из реда наставника, сарадника, ненаставног особља и студената, сагласно правилнику о стандардима, поступцима и процедурама за обезбеђење и унапређење квалитета установе. Спроводи стратегију обезбеђења квалитета и у том циљу предузима потребне мере за отклањање уочених неправилности сагласно Правилнику о самовредновању и оцењивању квалитета студијских програма, наставе и услова рада. Општим актом Школе уређен је поступак давања мишљења студената о оцени резултата педагош</w:t>
            </w:r>
            <w:r>
              <w:rPr>
                <w:rFonts w:ascii="Arial Narrow" w:hAnsi="Arial Narrow"/>
                <w:lang w:val="ru-RU"/>
              </w:rPr>
              <w:t>ког рада наставника и сарадника.</w:t>
            </w:r>
          </w:p>
          <w:p w14:paraId="660FECC4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 xml:space="preserve">Школа спроводи поступак самовредновања и оцењивања квалитета својих студијских програма, наставе и услова рада. Овај поступак спроводи комисија, коју образује и чије чланове именује Наставно веће посебном одлуком. Мандат члановима комисије траје 3 године, а одлуком Наставног већа се утврђују надлежности у поступку самовредновања. Самовредновање се спроводи за сваку школску годину и у поступку самовредновања разматра се и оцена студената. </w:t>
            </w:r>
          </w:p>
          <w:p w14:paraId="0BFB17D0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Ненаставно особље Школе својим стручним и професионалним радом даје подршку за успешну реализацију наставе на студијским програмима и других задатака и циљева Школе. Стручне, административне, техничке и помоћне послове, укључујући и реализацију лабораторијских вежби са студентима, у Школи обављају лица која испуњавају услове предвиђене актом о систематизацији послова. Радом ненаставне јединице руководи секретар Школе, који за свој рад одговара директору школе. Стално запослени Школе имају своје радне књижице, а за наставнике ангажоване са других високошколских установа постоје уредно попуњени уговори и сагласности њихових институција. На поступак заснивања радног односа промењују се одредбе Закона о раду, Посебног колективног уговора за високо образовање и други позитивни прописи. Све конкурсе за заснивање радног односа, у којима су прецизно наведени услови за рад на сваком појединачном радном месту, Школа објављује у огласним новинама Националне службе за запошљавање „Послови“</w:t>
            </w:r>
            <w:r>
              <w:rPr>
                <w:rFonts w:ascii="Arial Narrow" w:hAnsi="Arial Narrow"/>
                <w:lang w:val="ru-RU"/>
              </w:rPr>
              <w:t>, на огласним таблама и сајту.</w:t>
            </w:r>
          </w:p>
          <w:p w14:paraId="3ACD3CA9" w14:textId="77777777" w:rsidR="00033937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Правилником о образовању и стручном усавршавању запослених утврђују се права, обавезе, услови и начин остваривања права запослених у овом контексту. Средства за ове намене предвиђају се годишњим финансијским планом, а обезбеђују се из буџета Републике Србије, сопствених средстава и других извора финансирања.</w:t>
            </w:r>
          </w:p>
          <w:p w14:paraId="6E9CFEC7" w14:textId="77777777" w:rsidR="00033937" w:rsidRPr="00FA1B3F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b/>
                <w:lang w:val="ru-RU"/>
              </w:rPr>
            </w:pPr>
            <w:r w:rsidRPr="00FA1B3F">
              <w:rPr>
                <w:rFonts w:ascii="Arial Narrow" w:hAnsi="Arial Narrow"/>
                <w:b/>
                <w:lang w:val="ru-RU"/>
              </w:rPr>
              <w:t xml:space="preserve">Процена стандарда </w:t>
            </w:r>
          </w:p>
          <w:p w14:paraId="17E6FAE7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Школа</w:t>
            </w:r>
            <w:r w:rsidRPr="009D30BE">
              <w:rPr>
                <w:rFonts w:ascii="Arial Narrow" w:hAnsi="Arial Narrow"/>
                <w:lang w:val="ru-RU"/>
              </w:rPr>
              <w:t xml:space="preserve"> у целини испуњава захтеве Стандара 10.</w:t>
            </w:r>
          </w:p>
          <w:p w14:paraId="133424E5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Систем управљања високошколском установом, организациона структура и квалитет ненаставне подршке обезбеђује ефикасну реализацију задатака и циљева.</w:t>
            </w:r>
          </w:p>
          <w:p w14:paraId="527828C7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lastRenderedPageBreak/>
              <w:t>Статутом као основним општим актом прецизно је уређена делатност, организација, начин рада, управљање, руковођење и друга питања од значаја за обављање делатности и рад Школе, у складу са законом.</w:t>
            </w:r>
          </w:p>
          <w:p w14:paraId="66C12DFC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На основу годишњих извештаја о самовредновању рада школе и студијских програма, самовредновању од стране запослених и самовредновању педагошког рада наставника, уочавају се постојеће слабости у конкретним областима обезбеђења квалитета и предузимају мере за њихово отклањање. Корективне активности за унапређење квалитета управљања Школом и квалитета ненаставне подршке спроводи директор на предлог Комисије за квалитет.</w:t>
            </w:r>
          </w:p>
          <w:p w14:paraId="1C0E18A1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Услови и поступак заснивања радног односа и напредовања ненаставног особља утврђени су општим актом високошколске установе и доступни су јавности.</w:t>
            </w:r>
          </w:p>
          <w:p w14:paraId="63D3AA88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Презентираним, континуираним и свеобухватним процесом анкетирања, као и креирањем атмосфере отворености за предлоге и примедбе, рад и деловање  управљачког и ненаставног особља су доступни оцени наставника, ненаставног особља, студената и јавног мњења. Резултати студентског вредновања користе се и за редовно праћење и контролу квалитета наставног процеса као део опште политике у области обезбеђења квалитета високог образовања у Школи. Такође, формирано мишљење студената о педагошком раду наставника узима се у обзир приликом утврђивања оцене о резултатима педагошког рада у поступку избора у звање наставника. Информације о раду органа управљања, пословођења, као и о раду стручних служби, објављују се на огласним таблама и сајту Школе.</w:t>
            </w:r>
          </w:p>
          <w:p w14:paraId="4A421FA3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У Школи је обезбеђен довољан број квалификованог особља за обављање секретарских и послова студентске службе, као и довољан број квалификованог особља за обављање библиотечких и послова информационог система (Табела 10.1.). И поред тога што је образовна структура запослених у Секретаријату побољшана у претходном периоду, потребно је додатно унапређење.</w:t>
            </w:r>
          </w:p>
          <w:p w14:paraId="65C49032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Школа набавља потребу научну и стручну литературу и омогућава учешће на семинарима за усавршавање управљачког и ненаставног особља. Користећи компетенције сопственог кадра и у оквиру реализације циљева међународних пројеката у којима је координатор и учесник, спроводи обуке запослених за коришћење нових информационо-комуникационих технологија у пословању.</w:t>
            </w:r>
          </w:p>
          <w:p w14:paraId="40DCC227" w14:textId="77777777" w:rsidR="00033937" w:rsidRPr="009D30BE" w:rsidRDefault="00033937" w:rsidP="00033937">
            <w:pPr>
              <w:spacing w:before="120"/>
              <w:ind w:left="113" w:right="113"/>
              <w:jc w:val="both"/>
              <w:rPr>
                <w:rFonts w:ascii="Arial Narrow" w:hAnsi="Arial Narrow"/>
                <w:lang w:val="ru-RU"/>
              </w:rPr>
            </w:pPr>
            <w:r w:rsidRPr="009D30BE">
              <w:rPr>
                <w:rFonts w:ascii="Arial Narrow" w:hAnsi="Arial Narrow"/>
                <w:lang w:val="ru-RU"/>
              </w:rPr>
              <w:t>Може се закључити да су процеси одлучивања, компетенције и одговорности у Школи јасно дефинисани, саопштавани и имплементирани, као и да организациона структура и процедуре обезбеђују да су у процесе одлучивања укључени и запослени и студенти.</w:t>
            </w:r>
          </w:p>
          <w:p w14:paraId="701132E6" w14:textId="77777777" w:rsidR="00033937" w:rsidRPr="00A741FC" w:rsidRDefault="00033937" w:rsidP="00033937">
            <w:pPr>
              <w:shd w:val="clear" w:color="auto" w:fill="FFFFFF"/>
              <w:spacing w:before="60"/>
              <w:rPr>
                <w:sz w:val="10"/>
                <w:szCs w:val="10"/>
              </w:rPr>
            </w:pPr>
            <w:r>
              <w:rPr>
                <w:b/>
                <w:color w:val="000000"/>
                <w:lang w:val="sr-Cyrl-CS"/>
              </w:rPr>
              <w:t xml:space="preserve"> </w:t>
            </w:r>
            <w:r>
              <w:rPr>
                <w:rFonts w:ascii="Arial Narrow" w:hAnsi="Arial Narrow"/>
                <w:b/>
                <w:color w:val="000000"/>
                <w:lang w:val="sr-Cyrl-CS"/>
              </w:rPr>
              <w:t xml:space="preserve">   </w:t>
            </w:r>
            <w:r w:rsidRPr="008344F0">
              <w:rPr>
                <w:rFonts w:ascii="Arial Narrow" w:hAnsi="Arial Narrow"/>
                <w:b/>
                <w:color w:val="000000"/>
                <w:lang w:val="sr-Cyrl-CS"/>
              </w:rPr>
              <w:t xml:space="preserve">б) </w:t>
            </w:r>
            <w:r w:rsidRPr="008344F0">
              <w:rPr>
                <w:rFonts w:ascii="Arial Narrow" w:hAnsi="Arial Narrow"/>
                <w:b/>
                <w:color w:val="000000"/>
                <w:lang w:val="en-GB"/>
              </w:rPr>
              <w:t>SWOT анализа</w:t>
            </w:r>
          </w:p>
          <w:tbl>
            <w:tblPr>
              <w:tblW w:w="0" w:type="auto"/>
              <w:tblInd w:w="1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84"/>
              <w:gridCol w:w="679"/>
              <w:gridCol w:w="4765"/>
              <w:gridCol w:w="1263"/>
            </w:tblGrid>
            <w:tr w:rsidR="00033937" w:rsidRPr="009D30BE" w14:paraId="3047E245" w14:textId="77777777" w:rsidTr="00A244A2">
              <w:trPr>
                <w:trHeight w:val="389"/>
              </w:trPr>
              <w:tc>
                <w:tcPr>
                  <w:tcW w:w="1985" w:type="dxa"/>
                </w:tcPr>
                <w:p w14:paraId="5EDA8E80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Елементи анализе</w:t>
                  </w:r>
                </w:p>
              </w:tc>
              <w:tc>
                <w:tcPr>
                  <w:tcW w:w="708" w:type="dxa"/>
                </w:tcPr>
                <w:p w14:paraId="0199A28A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Кат.</w:t>
                  </w:r>
                </w:p>
              </w:tc>
              <w:tc>
                <w:tcPr>
                  <w:tcW w:w="5360" w:type="dxa"/>
                </w:tcPr>
                <w:p w14:paraId="7DFD3A08" w14:textId="77777777" w:rsidR="00033937" w:rsidRPr="009D30BE" w:rsidRDefault="00033937" w:rsidP="00033937">
                  <w:pPr>
                    <w:spacing w:before="120" w:line="274" w:lineRule="exact"/>
                    <w:jc w:val="center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Опис</w:t>
                  </w:r>
                </w:p>
              </w:tc>
              <w:tc>
                <w:tcPr>
                  <w:tcW w:w="1323" w:type="dxa"/>
                </w:tcPr>
                <w:p w14:paraId="76A8440F" w14:textId="77777777" w:rsidR="00033937" w:rsidRPr="009D30BE" w:rsidRDefault="00033937" w:rsidP="00033937">
                  <w:pPr>
                    <w:spacing w:before="120" w:line="274" w:lineRule="exact"/>
                    <w:jc w:val="center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Вредност</w:t>
                  </w:r>
                </w:p>
              </w:tc>
            </w:tr>
            <w:tr w:rsidR="00033937" w:rsidRPr="009D30BE" w14:paraId="53603F8E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50C03D6B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Дефинисаност надлежности</w:t>
                  </w:r>
                  <w:r w:rsidRPr="009D30BE">
                    <w:rPr>
                      <w:rFonts w:ascii="Arial Narrow" w:hAnsi="Arial Narrow"/>
                      <w:lang w:val="ru-RU"/>
                    </w:rPr>
                    <w:t xml:space="preserve"> 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 xml:space="preserve">органа </w:t>
                  </w:r>
                  <w:r w:rsidRPr="009D30BE">
                    <w:rPr>
                      <w:rFonts w:ascii="Arial Narrow" w:hAnsi="Arial Narrow"/>
                    </w:rPr>
                    <w:t xml:space="preserve"> управљања,  пословођења  и  стручних органа</w:t>
                  </w:r>
                </w:p>
              </w:tc>
              <w:tc>
                <w:tcPr>
                  <w:tcW w:w="708" w:type="dxa"/>
                  <w:vAlign w:val="center"/>
                </w:tcPr>
                <w:p w14:paraId="7A010F3B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15B230B7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lang w:val="ru-RU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Надлежности и одговорности органа јасно дефинисане Статутом и Пословницима о раду</w:t>
                  </w:r>
                </w:p>
              </w:tc>
              <w:tc>
                <w:tcPr>
                  <w:tcW w:w="1323" w:type="dxa"/>
                  <w:vAlign w:val="center"/>
                </w:tcPr>
                <w:p w14:paraId="70038DB5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+++</w:t>
                  </w:r>
                </w:p>
              </w:tc>
            </w:tr>
            <w:tr w:rsidR="00033937" w:rsidRPr="009D30BE" w14:paraId="1AFDA28A" w14:textId="77777777" w:rsidTr="00A244A2">
              <w:trPr>
                <w:trHeight w:val="581"/>
              </w:trPr>
              <w:tc>
                <w:tcPr>
                  <w:tcW w:w="1985" w:type="dxa"/>
                  <w:vMerge/>
                </w:tcPr>
                <w:p w14:paraId="2E730C85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B40D4E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2C6F2BA6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lang w:val="ru-RU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Недостатак континуиране координације пословних активности између помоћника директора, секретара и шефова одсека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EA4FA1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0F117952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0F5153D0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E091792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DDA210A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spacing w:val="-1"/>
                      <w:lang w:val="sr-Cyrl-CS"/>
                    </w:rPr>
                    <w:t xml:space="preserve">Прецизније дефинисање процедура Акционим 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планом за спровођење стратегије обезбеђења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4327724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1A07DF1D" w14:textId="77777777" w:rsidTr="00A244A2">
              <w:trPr>
                <w:trHeight w:val="852"/>
              </w:trPr>
              <w:tc>
                <w:tcPr>
                  <w:tcW w:w="1985" w:type="dxa"/>
                  <w:vMerge/>
                </w:tcPr>
                <w:p w14:paraId="2C67FF14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CB17643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12B392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Честе промене органа пословођења.</w:t>
                  </w:r>
                </w:p>
                <w:p w14:paraId="7B7FA999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 xml:space="preserve">Недовољно поштовање рокова извршења активности из Акционог плана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B9A504F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795605F5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3B070B1E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Дефинисаност организационе структуре</w:t>
                  </w:r>
                </w:p>
              </w:tc>
              <w:tc>
                <w:tcPr>
                  <w:tcW w:w="708" w:type="dxa"/>
                  <w:vAlign w:val="center"/>
                </w:tcPr>
                <w:p w14:paraId="18423E7D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40640AEA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Организационе јединице, њихова структура и делокруг рада јасно су дефинисани Статутом школе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5903941D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7014F2B7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42F77A5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0DE7A8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C7CF578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Недовољна усклађеност рада органа пословођења и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00E1C37B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6275CAFE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6EB036B0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92EEC01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1820DC20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lang w:val="sr-Cyrl-CS"/>
                    </w:rPr>
                    <w:t>Побољшање и унапређивање организационе структуре у складу са идентификованим проблемима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A9718B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3FDE2B11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5BF968E2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A39948D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E048EA8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Недовољно стрикна примена усвојених нормативних аката неће у пуној мери побољшати функционисање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6FE1AE07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290D38E3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49271400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ind w:firstLine="5"/>
                    <w:rPr>
                      <w:rFonts w:ascii="Arial Narrow" w:hAnsi="Arial Narrow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 xml:space="preserve">Праћење и </w:t>
                  </w:r>
                  <w:r w:rsidRPr="009D30BE">
                    <w:rPr>
                      <w:rFonts w:ascii="Arial Narrow" w:hAnsi="Arial Narrow"/>
                      <w:color w:val="000000"/>
                      <w:spacing w:val="-1"/>
                      <w:lang w:val="sr-Cyrl-CS"/>
                    </w:rPr>
                    <w:t xml:space="preserve">оцењивање   </w:t>
                  </w:r>
                  <w:r w:rsidRPr="009D30BE">
                    <w:rPr>
                      <w:rFonts w:ascii="Arial Narrow" w:hAnsi="Arial Narrow"/>
                      <w:color w:val="000000"/>
                      <w:spacing w:val="-1"/>
                      <w:lang w:val="sr-Cyrl-CS"/>
                    </w:rPr>
                    <w:lastRenderedPageBreak/>
                    <w:t xml:space="preserve">квалитета 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управљања установом, уз мере за унапређење</w:t>
                  </w:r>
                </w:p>
                <w:p w14:paraId="7B372242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D2A2B27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lastRenderedPageBreak/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25C61D4F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Континуирано самовредновање као шанса за унапређење квалитета управљања установом</w:t>
                  </w:r>
                </w:p>
              </w:tc>
              <w:tc>
                <w:tcPr>
                  <w:tcW w:w="1323" w:type="dxa"/>
                  <w:vAlign w:val="center"/>
                </w:tcPr>
                <w:p w14:paraId="3C5F24A2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173AC586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B4C34BA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58FC2B9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672E167C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 xml:space="preserve">Спровођење праћења и оцењивања квалитета управљања се спроводи недовољно систематично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186BC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5E94E04B" w14:textId="77777777" w:rsidTr="00A244A2">
              <w:trPr>
                <w:trHeight w:val="808"/>
              </w:trPr>
              <w:tc>
                <w:tcPr>
                  <w:tcW w:w="1985" w:type="dxa"/>
                  <w:vMerge/>
                </w:tcPr>
                <w:p w14:paraId="44B85675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ED9A9DB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563138" w14:textId="77777777" w:rsidR="00033937" w:rsidRPr="009D30BE" w:rsidRDefault="00033937" w:rsidP="00033937">
                  <w:pPr>
                    <w:shd w:val="clear" w:color="auto" w:fill="FFFFFF"/>
                    <w:rPr>
                      <w:rFonts w:ascii="Arial Narrow" w:hAnsi="Arial Narrow"/>
                      <w:lang w:val="ru-RU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spacing w:val="-1"/>
                      <w:lang w:val="sr-Cyrl-CS"/>
                    </w:rPr>
                    <w:t>Отварање дискусије о спровођењу</w:t>
                  </w:r>
                </w:p>
                <w:p w14:paraId="18AAF229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усвојених докумената. Информисаност и обученост запослених о спровођењу политике квалитета.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7118C6F0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5F18D450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06D87DF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5023BB2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1B8F2A8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Недовољна заинтересованост већине запослених и студената за стратегију и политику квалитета, због недовољне информисаности и обучености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41EC73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670B74E8" w14:textId="77777777" w:rsidTr="00A244A2">
              <w:trPr>
                <w:trHeight w:val="823"/>
              </w:trPr>
              <w:tc>
                <w:tcPr>
                  <w:tcW w:w="1985" w:type="dxa"/>
                  <w:vMerge w:val="restart"/>
                  <w:vAlign w:val="center"/>
                </w:tcPr>
                <w:p w14:paraId="5695E76A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Праћење и оцењивање квалитета рада стручних служби и ненаставног особља, уз мере за унапређење</w:t>
                  </w:r>
                </w:p>
              </w:tc>
              <w:tc>
                <w:tcPr>
                  <w:tcW w:w="708" w:type="dxa"/>
                  <w:vAlign w:val="center"/>
                </w:tcPr>
                <w:p w14:paraId="4FDBABFE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39620AFD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Континуирано се прати рад и у складу са квалитетом обављања радних задатака, примењују се стимулативне односно дестимулативне мере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14C4BFA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506EB1E3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3D90E63D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ADD7E0F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E3A05BB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Ограничене плате и низак стандард ове категорије запослених</w:t>
                  </w:r>
                </w:p>
              </w:tc>
              <w:tc>
                <w:tcPr>
                  <w:tcW w:w="1323" w:type="dxa"/>
                  <w:vAlign w:val="center"/>
                </w:tcPr>
                <w:p w14:paraId="32FA8936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1A00DA2E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41AB2011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F9F468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C221783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Повећање стручности запослених у службама.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42ED05B5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</w:t>
                  </w:r>
                </w:p>
              </w:tc>
            </w:tr>
            <w:tr w:rsidR="00033937" w:rsidRPr="009D30BE" w14:paraId="23458044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2DBEDFFE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A3DF7B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C11ABF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Међуљудски односи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BD98A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</w:t>
                  </w:r>
                </w:p>
              </w:tc>
            </w:tr>
            <w:tr w:rsidR="00033937" w:rsidRPr="009D30BE" w14:paraId="367A7B20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3C56715E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lang w:val="ru-RU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Дефинисаност и доступност услова за напредовање ненаставног особља</w:t>
                  </w:r>
                </w:p>
                <w:p w14:paraId="5B47F39F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259F7BF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00824431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Захтеви за потребним квалификацијама дефинисани нормативним актима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207EAB33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+++</w:t>
                  </w:r>
                </w:p>
              </w:tc>
            </w:tr>
            <w:tr w:rsidR="00033937" w:rsidRPr="009D30BE" w14:paraId="28DE8807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3D2576D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770B5D6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09FC7FED" w14:textId="77777777" w:rsidR="00033937" w:rsidRPr="009D30BE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Недовољна мотивисаност за прихватање промена везаних за трендове развоја, посебно имплементацију система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6C46EE1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</w:rPr>
                    <w:t>+</w:t>
                  </w: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</w:t>
                  </w:r>
                </w:p>
              </w:tc>
            </w:tr>
            <w:tr w:rsidR="00033937" w:rsidRPr="009D30BE" w14:paraId="7A342459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7C1549A8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7B7BF6B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3762C8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Квалитетнији рад ненаставног особља због напредовања најбољих радника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4AD5769C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++</w:t>
                  </w:r>
                </w:p>
              </w:tc>
            </w:tr>
            <w:tr w:rsidR="00033937" w:rsidRPr="009D30BE" w14:paraId="5CBE2580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3D6356D4" w14:textId="77777777" w:rsidR="00033937" w:rsidRPr="009D30BE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706DD75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</w:rPr>
                  </w:pPr>
                  <w:r w:rsidRPr="009D30BE">
                    <w:rPr>
                      <w:rFonts w:ascii="Arial Narrow" w:hAnsi="Arial Narrow"/>
                      <w:b/>
                      <w:bCs/>
                      <w:color w:val="000000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4D6A8E32" w14:textId="77777777" w:rsidR="00033937" w:rsidRPr="009D30BE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eastAsia="Calibri" w:hAnsi="Arial Narrow"/>
                      <w:lang w:val="sr-Cyrl-CS"/>
                    </w:rPr>
                    <w:t>Инерција у раду због неадекватног система мотивације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BDDF2F4" w14:textId="77777777" w:rsidR="00033937" w:rsidRPr="009D30BE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lang w:val="sr-Cyrl-CS"/>
                    </w:rPr>
                  </w:pPr>
                  <w:r w:rsidRPr="009D30BE">
                    <w:rPr>
                      <w:rFonts w:ascii="Arial Narrow" w:hAnsi="Arial Narrow"/>
                      <w:color w:val="000000"/>
                      <w:lang w:val="sr-Cyrl-CS"/>
                    </w:rPr>
                    <w:t>++</w:t>
                  </w:r>
                </w:p>
              </w:tc>
            </w:tr>
          </w:tbl>
          <w:p w14:paraId="05B17572" w14:textId="77777777" w:rsidR="00033937" w:rsidRDefault="00033937" w:rsidP="00033937">
            <w:pPr>
              <w:tabs>
                <w:tab w:val="left" w:pos="7185"/>
              </w:tabs>
              <w:rPr>
                <w:rFonts w:ascii="Arial Narrow" w:hAnsi="Arial Narrow" w:cstheme="minorHAnsi"/>
              </w:rPr>
            </w:pPr>
          </w:p>
          <w:p w14:paraId="03F35702" w14:textId="77777777" w:rsidR="00033937" w:rsidRPr="009D30BE" w:rsidRDefault="00033937" w:rsidP="00033937">
            <w:pPr>
              <w:ind w:left="113" w:right="113"/>
              <w:jc w:val="both"/>
              <w:rPr>
                <w:rFonts w:ascii="Arial Narrow" w:hAnsi="Arial Narrow"/>
                <w:b/>
                <w:lang w:val="sr-Cyrl-CS"/>
              </w:rPr>
            </w:pPr>
            <w:r w:rsidRPr="009D30BE">
              <w:rPr>
                <w:rFonts w:ascii="Arial Narrow" w:hAnsi="Arial Narrow"/>
                <w:b/>
                <w:lang w:val="sr-Cyrl-CS"/>
              </w:rPr>
              <w:t xml:space="preserve">ц) Предлог мера и активности за унапређење квалитета стандарда 10 </w:t>
            </w:r>
          </w:p>
          <w:p w14:paraId="295D8ADF" w14:textId="77777777" w:rsidR="00033937" w:rsidRPr="00FA1B3F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TimesNewRoman" w:hAnsi="Arial Narrow"/>
                <w:lang w:val="sr-Cyrl-CS"/>
              </w:rPr>
            </w:pPr>
            <w:r w:rsidRPr="00FA1B3F">
              <w:rPr>
                <w:rFonts w:ascii="Arial Narrow" w:eastAsia="TimesNewRoman" w:hAnsi="Arial Narrow"/>
                <w:lang w:val="sr-Cyrl-CS"/>
              </w:rPr>
              <w:t>Одредити приоритете у области унапређења квалитета управљања Школом и квалитета ненаставне подршке у наредном периоду и фокусирати се на хитно решавање кључних проблема у овом контексту.</w:t>
            </w:r>
          </w:p>
          <w:p w14:paraId="04A547C2" w14:textId="77777777" w:rsidR="00033937" w:rsidRPr="00FA1B3F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hAnsi="Arial Narrow"/>
                <w:bCs/>
                <w:lang w:val="sr-Cyrl-CS"/>
              </w:rPr>
            </w:pPr>
            <w:r w:rsidRPr="00FA1B3F">
              <w:rPr>
                <w:rFonts w:ascii="Arial Narrow" w:hAnsi="Arial Narrow"/>
                <w:color w:val="000000"/>
                <w:lang w:val="sr-Cyrl-CS"/>
              </w:rPr>
              <w:t>Потребно је да Директор школе и Председник Савета наставе да енергично остварују интегративну улогу и потврде лидерску позицију у мисији спровођења и унапређења Стратегије обезбеђења квалитета у Школи.</w:t>
            </w:r>
          </w:p>
          <w:p w14:paraId="53BEA089" w14:textId="77777777" w:rsidR="00033937" w:rsidRPr="00FA1B3F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lang w:val="sr-Cyrl-CS"/>
              </w:rPr>
            </w:pPr>
            <w:r w:rsidRPr="00FA1B3F">
              <w:rPr>
                <w:rFonts w:ascii="Arial Narrow" w:hAnsi="Arial Narrow"/>
                <w:bCs/>
                <w:lang w:val="sr-Cyrl-CS"/>
              </w:rPr>
              <w:t>У</w:t>
            </w:r>
            <w:r w:rsidRPr="00FA1B3F">
              <w:rPr>
                <w:rFonts w:ascii="Arial Narrow" w:eastAsia="Calibri" w:hAnsi="Arial Narrow"/>
                <w:color w:val="000000"/>
                <w:lang w:val="sr-Cyrl-CS"/>
              </w:rPr>
              <w:t>напредити контролне и корективне механизме за систематско праћење и проверу квалитета управљања Школом и квалитета рада ненаставног особља.</w:t>
            </w:r>
          </w:p>
          <w:p w14:paraId="53219769" w14:textId="77777777" w:rsidR="00033937" w:rsidRPr="00FA1B3F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lang w:val="sr-Cyrl-CS"/>
              </w:rPr>
            </w:pPr>
            <w:r w:rsidRPr="00FA1B3F">
              <w:rPr>
                <w:rFonts w:ascii="Arial Narrow" w:hAnsi="Arial Narrow"/>
                <w:bCs/>
                <w:lang w:val="sr-Cyrl-CS"/>
              </w:rPr>
              <w:t xml:space="preserve">Наставити са континуираним </w:t>
            </w:r>
            <w:r w:rsidRPr="00FA1B3F">
              <w:rPr>
                <w:rFonts w:ascii="Arial Narrow" w:eastAsia="TimesNewRoman" w:hAnsi="Arial Narrow"/>
                <w:lang w:val="sr-Cyrl-CS"/>
              </w:rPr>
              <w:t>усавршавањем и образовањем управљачког и ненаставног особља у функцији ефикаснијег пословања и повећања степена задовољства студената.</w:t>
            </w:r>
          </w:p>
          <w:p w14:paraId="4ABA89B6" w14:textId="77777777" w:rsidR="00033937" w:rsidRPr="00FA1B3F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TimesNewRoman,Bold" w:hAnsi="Arial Narrow"/>
                <w:lang w:val="sr-Cyrl-CS"/>
              </w:rPr>
            </w:pPr>
            <w:r w:rsidRPr="00FA1B3F">
              <w:rPr>
                <w:rFonts w:ascii="Arial Narrow" w:eastAsia="TimesNewRoman,Bold" w:hAnsi="Arial Narrow"/>
                <w:lang w:val="sr-Cyrl-CS"/>
              </w:rPr>
              <w:t xml:space="preserve">Интензивирати </w:t>
            </w:r>
            <w:r w:rsidRPr="00FA1B3F">
              <w:rPr>
                <w:rFonts w:ascii="Arial Narrow" w:eastAsia="TimesNewRoman" w:hAnsi="Arial Narrow"/>
                <w:lang w:val="sr-Cyrl-CS"/>
              </w:rPr>
              <w:t>рад на примени и развоју информационог система, пре свега имајући у виду потребу интеграције пословних процеса и употребе података на више места</w:t>
            </w:r>
            <w:r w:rsidRPr="00FA1B3F">
              <w:rPr>
                <w:rFonts w:ascii="Arial Narrow" w:eastAsia="TimesNewRoman,Bold" w:hAnsi="Arial Narrow"/>
                <w:lang w:val="sr-Cyrl-CS"/>
              </w:rPr>
              <w:t xml:space="preserve"> </w:t>
            </w:r>
          </w:p>
          <w:p w14:paraId="0669CEA8" w14:textId="77777777" w:rsidR="00033937" w:rsidRDefault="00033937" w:rsidP="00033937">
            <w:pPr>
              <w:widowControl/>
              <w:suppressAutoHyphens/>
              <w:autoSpaceDE/>
              <w:autoSpaceDN/>
              <w:adjustRightInd/>
              <w:ind w:left="62"/>
              <w:jc w:val="both"/>
              <w:rPr>
                <w:rFonts w:eastAsia="TimesNewRoman,Bold"/>
                <w:lang w:val="sr-Cyrl-CS"/>
              </w:rPr>
            </w:pPr>
            <w:r w:rsidRPr="00FA1B3F">
              <w:rPr>
                <w:rFonts w:ascii="Arial Narrow" w:eastAsia="TimesNewRoman" w:hAnsi="Arial Narrow"/>
                <w:lang w:val="sr-Cyrl-CS"/>
              </w:rPr>
              <w:t>Унапредити организацију и систематизацију послова на такав начин да се унапреди међусобна сарадња између организационих делова и прецизира одговорност и овлашћења сваког руководиоца и извршиоца појединих активности, као и механизми ефикасније сарадње</w:t>
            </w:r>
            <w:r w:rsidRPr="00FA1B3F">
              <w:rPr>
                <w:rFonts w:eastAsia="TimesNewRoman,Bold"/>
                <w:lang w:val="sr-Cyrl-CS"/>
              </w:rPr>
              <w:t>.</w:t>
            </w:r>
          </w:p>
          <w:p w14:paraId="5CC459E0" w14:textId="1960003B" w:rsidR="002D3847" w:rsidRPr="00797699" w:rsidRDefault="002D3847" w:rsidP="00B91232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797699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797699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79769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97699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797699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3B8D57E" w14:textId="1B81208E" w:rsidR="00642C1C" w:rsidRPr="00797699" w:rsidRDefault="002D3847" w:rsidP="007E0588">
            <w:pPr>
              <w:widowControl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97699">
              <w:rPr>
                <w:rFonts w:ascii="Arial Narrow" w:hAnsi="Arial Narrow"/>
                <w:sz w:val="24"/>
                <w:szCs w:val="24"/>
                <w:lang w:val="sr-Cyrl-CS"/>
              </w:rPr>
              <w:t>в1)</w:t>
            </w:r>
            <w:r w:rsidRPr="00797699">
              <w:rPr>
                <w:rFonts w:ascii="Arial Narrow" w:hAnsi="Arial Narrow"/>
                <w:b/>
                <w:sz w:val="24"/>
                <w:szCs w:val="24"/>
                <w:lang w:val="sr-Cyrl-CS"/>
              </w:rPr>
              <w:t xml:space="preserve"> </w:t>
            </w:r>
            <w:r w:rsidR="00745FD7" w:rsidRPr="00B9123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Иницирати </w:t>
            </w:r>
            <w:r w:rsidR="00673C62" w:rsidRPr="00B91232">
              <w:rPr>
                <w:rFonts w:ascii="Arial Narrow" w:hAnsi="Arial Narrow"/>
                <w:sz w:val="22"/>
                <w:szCs w:val="22"/>
                <w:lang w:val="sr-Cyrl-CS"/>
              </w:rPr>
              <w:t>детаљније упознавањ</w:t>
            </w:r>
            <w:r w:rsidR="00D557C8" w:rsidRPr="00B91232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="00673C62" w:rsidRPr="00B9123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студената </w:t>
            </w:r>
            <w:r w:rsidR="007E0588">
              <w:rPr>
                <w:rFonts w:ascii="Arial Narrow" w:hAnsi="Arial Narrow"/>
                <w:sz w:val="22"/>
                <w:szCs w:val="22"/>
                <w:lang w:val="sr-Cyrl-CS"/>
              </w:rPr>
              <w:t>Школе</w:t>
            </w:r>
            <w:r w:rsidR="00673C62" w:rsidRPr="00B9123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 значају квалитета управљања </w:t>
            </w:r>
            <w:r w:rsidR="00745FD7" w:rsidRPr="00B91232">
              <w:rPr>
                <w:rFonts w:ascii="Arial Narrow" w:hAnsi="Arial Narrow"/>
                <w:sz w:val="22"/>
                <w:szCs w:val="22"/>
                <w:lang w:val="sr-Cyrl-CS"/>
              </w:rPr>
              <w:t>установом</w:t>
            </w:r>
            <w:r w:rsidR="00673C62" w:rsidRPr="00B91232">
              <w:rPr>
                <w:rFonts w:ascii="Arial Narrow" w:hAnsi="Arial Narrow"/>
                <w:sz w:val="22"/>
                <w:szCs w:val="22"/>
                <w:lang w:val="sr-Cyrl-CS"/>
              </w:rPr>
              <w:t>, а  кроз интензивирање рада органа Студентског парламента</w:t>
            </w:r>
            <w:r w:rsidR="00673C62" w:rsidRPr="00797699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642C1C" w:rsidRPr="00797699" w14:paraId="10C17DE9" w14:textId="77777777" w:rsidTr="002147A5">
        <w:tc>
          <w:tcPr>
            <w:tcW w:w="8954" w:type="dxa"/>
          </w:tcPr>
          <w:p w14:paraId="69F28C27" w14:textId="77777777" w:rsidR="00642C1C" w:rsidRPr="00797699" w:rsidRDefault="00642C1C" w:rsidP="00B91232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97699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797699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10</w:t>
            </w:r>
          </w:p>
          <w:p w14:paraId="18F7AE01" w14:textId="0C0D5CC7" w:rsidR="00CB6C00" w:rsidRPr="00797699" w:rsidRDefault="00280DF4" w:rsidP="00B91232">
            <w:pPr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8" w:history="1">
              <w:r w:rsidR="00CB6C00" w:rsidRPr="00B9123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10.1</w:t>
              </w:r>
            </w:hyperlink>
            <w:r w:rsidR="00CB6C00" w:rsidRPr="00B9123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ненаставних радника запослених 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са пуним или непуним радним временом 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en-US"/>
              </w:rPr>
              <w:t xml:space="preserve"> у  високошколској 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en-US"/>
              </w:rPr>
              <w:t xml:space="preserve">установи у оквиру одговарајућих организационих јединица </w:t>
            </w:r>
            <w:r w:rsidR="003F39A8" w:rsidRPr="00797699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20FB25C2" w14:textId="18A56AA3" w:rsidR="00CB6C00" w:rsidRPr="00797699" w:rsidRDefault="00280DF4" w:rsidP="00B91232">
            <w:pPr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hyperlink r:id="rId9" w:history="1">
              <w:r w:rsidR="00CB6C00" w:rsidRPr="00B9123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10.1</w:t>
              </w:r>
            </w:hyperlink>
            <w:r w:rsidR="00CB6C00" w:rsidRPr="00B9123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2545CE">
              <w:rPr>
                <w:rFonts w:ascii="Arial Narrow" w:hAnsi="Arial Narrow"/>
                <w:sz w:val="22"/>
                <w:szCs w:val="22"/>
                <w:lang w:val="en-US"/>
              </w:rPr>
              <w:t xml:space="preserve"> Шематска организациона структура високошколске установе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  <w:p w14:paraId="1C1946E5" w14:textId="269E374F" w:rsidR="00CB6C00" w:rsidRPr="00797699" w:rsidRDefault="00280DF4" w:rsidP="00B91232">
            <w:pPr>
              <w:widowControl/>
              <w:autoSpaceDE/>
              <w:adjustRightInd/>
              <w:jc w:val="both"/>
              <w:rPr>
                <w:rFonts w:ascii="Arial Narrow" w:hAnsi="Arial Narrow"/>
                <w:bCs/>
                <w:color w:val="0000FF"/>
                <w:sz w:val="22"/>
                <w:szCs w:val="22"/>
                <w:lang w:val="sr-Cyrl-RS"/>
              </w:rPr>
            </w:pPr>
            <w:hyperlink r:id="rId10" w:history="1">
              <w:r w:rsidR="00CB6C00" w:rsidRPr="00B9123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</w:t>
              </w:r>
              <w:r w:rsidR="00CB6C00" w:rsidRPr="00B91232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 xml:space="preserve"> </w:t>
              </w:r>
              <w:r w:rsidR="00CB6C00" w:rsidRPr="00B9123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10.2</w:t>
              </w:r>
            </w:hyperlink>
            <w:bookmarkStart w:id="0" w:name="_GoBack"/>
            <w:bookmarkEnd w:id="0"/>
            <w:r w:rsidR="00CB6C00" w:rsidRPr="00B9123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97699">
              <w:rPr>
                <w:rFonts w:ascii="Arial Narrow" w:hAnsi="Arial Narrow"/>
                <w:sz w:val="22"/>
                <w:szCs w:val="22"/>
                <w:lang w:val="en-US"/>
              </w:rPr>
              <w:t xml:space="preserve"> Aнализа резултата анкете студената о процени квалитета рада органа управљања и рада стручних служби</w:t>
            </w:r>
            <w:r w:rsidR="00D33E86" w:rsidRPr="00797699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7834E9" w:rsidRPr="00797699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6A080864" w14:textId="77777777" w:rsidR="00642C1C" w:rsidRPr="00797699" w:rsidRDefault="00642C1C" w:rsidP="00B91232">
      <w:pPr>
        <w:rPr>
          <w:rFonts w:ascii="Arial Narrow" w:hAnsi="Arial Narrow"/>
          <w:lang w:val="sr-Cyrl-CS"/>
        </w:rPr>
      </w:pPr>
    </w:p>
    <w:p w14:paraId="5136DFBC" w14:textId="77777777" w:rsidR="002D1A8E" w:rsidRPr="00797699" w:rsidRDefault="002D1A8E" w:rsidP="00B91232">
      <w:pPr>
        <w:rPr>
          <w:rFonts w:ascii="Arial Narrow" w:hAnsi="Arial Narrow"/>
          <w:lang w:val="sr-Cyrl-CS"/>
        </w:rPr>
      </w:pPr>
    </w:p>
    <w:sectPr w:rsidR="002D1A8E" w:rsidRPr="00797699" w:rsidSect="00235E36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F599E" w14:textId="77777777" w:rsidR="00280DF4" w:rsidRDefault="00280DF4" w:rsidP="00235E36">
      <w:r>
        <w:separator/>
      </w:r>
    </w:p>
  </w:endnote>
  <w:endnote w:type="continuationSeparator" w:id="0">
    <w:p w14:paraId="448587A7" w14:textId="77777777" w:rsidR="00280DF4" w:rsidRDefault="00280DF4" w:rsidP="0023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295A2F" w14:textId="77777777" w:rsidR="00280DF4" w:rsidRDefault="00280DF4" w:rsidP="00235E36">
      <w:r>
        <w:separator/>
      </w:r>
    </w:p>
  </w:footnote>
  <w:footnote w:type="continuationSeparator" w:id="0">
    <w:p w14:paraId="767CB69B" w14:textId="77777777" w:rsidR="00280DF4" w:rsidRDefault="00280DF4" w:rsidP="00235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006"/>
    <w:multiLevelType w:val="hybridMultilevel"/>
    <w:tmpl w:val="39C6EBC8"/>
    <w:lvl w:ilvl="0" w:tplc="FCFA893E">
      <w:start w:val="1"/>
      <w:numFmt w:val="bullet"/>
      <w:lvlText w:val="­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87C2D"/>
    <w:multiLevelType w:val="hybridMultilevel"/>
    <w:tmpl w:val="3FE00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9C2D04"/>
    <w:multiLevelType w:val="hybridMultilevel"/>
    <w:tmpl w:val="208C1F64"/>
    <w:lvl w:ilvl="0" w:tplc="476A0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D346A39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B41C5B"/>
    <w:multiLevelType w:val="hybridMultilevel"/>
    <w:tmpl w:val="28909D8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C87765"/>
    <w:multiLevelType w:val="hybridMultilevel"/>
    <w:tmpl w:val="49EC4AE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7709C"/>
    <w:multiLevelType w:val="hybridMultilevel"/>
    <w:tmpl w:val="AB3A6D64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44CA336B"/>
    <w:multiLevelType w:val="hybridMultilevel"/>
    <w:tmpl w:val="8ED89C8A"/>
    <w:lvl w:ilvl="0" w:tplc="0004E3F4">
      <w:numFmt w:val="bullet"/>
      <w:lvlText w:val="-"/>
      <w:lvlJc w:val="left"/>
      <w:pPr>
        <w:ind w:left="833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12021"/>
    <w:multiLevelType w:val="hybridMultilevel"/>
    <w:tmpl w:val="A036CCF4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1FC4BB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26B555F"/>
    <w:multiLevelType w:val="hybridMultilevel"/>
    <w:tmpl w:val="B53C53BA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80CDA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E82DEB"/>
    <w:multiLevelType w:val="hybridMultilevel"/>
    <w:tmpl w:val="928A55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47A48"/>
    <w:multiLevelType w:val="hybridMultilevel"/>
    <w:tmpl w:val="CEE0121E"/>
    <w:lvl w:ilvl="0" w:tplc="04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3"/>
  </w:num>
  <w:num w:numId="7">
    <w:abstractNumId w:val="10"/>
  </w:num>
  <w:num w:numId="8">
    <w:abstractNumId w:val="25"/>
  </w:num>
  <w:num w:numId="9">
    <w:abstractNumId w:val="9"/>
  </w:num>
  <w:num w:numId="10">
    <w:abstractNumId w:val="30"/>
  </w:num>
  <w:num w:numId="11">
    <w:abstractNumId w:val="4"/>
  </w:num>
  <w:num w:numId="12">
    <w:abstractNumId w:val="27"/>
  </w:num>
  <w:num w:numId="13">
    <w:abstractNumId w:val="12"/>
  </w:num>
  <w:num w:numId="14">
    <w:abstractNumId w:val="6"/>
  </w:num>
  <w:num w:numId="15">
    <w:abstractNumId w:val="29"/>
  </w:num>
  <w:num w:numId="16">
    <w:abstractNumId w:val="22"/>
  </w:num>
  <w:num w:numId="17">
    <w:abstractNumId w:val="11"/>
  </w:num>
  <w:num w:numId="18">
    <w:abstractNumId w:val="21"/>
  </w:num>
  <w:num w:numId="19">
    <w:abstractNumId w:val="1"/>
  </w:num>
  <w:num w:numId="20">
    <w:abstractNumId w:val="32"/>
  </w:num>
  <w:num w:numId="21">
    <w:abstractNumId w:val="0"/>
  </w:num>
  <w:num w:numId="22">
    <w:abstractNumId w:val="13"/>
  </w:num>
  <w:num w:numId="23">
    <w:abstractNumId w:val="28"/>
  </w:num>
  <w:num w:numId="24">
    <w:abstractNumId w:val="3"/>
  </w:num>
  <w:num w:numId="25">
    <w:abstractNumId w:val="19"/>
  </w:num>
  <w:num w:numId="26">
    <w:abstractNumId w:val="15"/>
  </w:num>
  <w:num w:numId="27">
    <w:abstractNumId w:val="24"/>
  </w:num>
  <w:num w:numId="28">
    <w:abstractNumId w:val="16"/>
  </w:num>
  <w:num w:numId="29">
    <w:abstractNumId w:val="17"/>
  </w:num>
  <w:num w:numId="30">
    <w:abstractNumId w:val="18"/>
  </w:num>
  <w:num w:numId="31">
    <w:abstractNumId w:val="26"/>
  </w:num>
  <w:num w:numId="32">
    <w:abstractNumId w:val="31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33937"/>
    <w:rsid w:val="00063599"/>
    <w:rsid w:val="00074729"/>
    <w:rsid w:val="00086C5E"/>
    <w:rsid w:val="000D445F"/>
    <w:rsid w:val="001162F0"/>
    <w:rsid w:val="00116EC1"/>
    <w:rsid w:val="00160C36"/>
    <w:rsid w:val="001C5475"/>
    <w:rsid w:val="002004C2"/>
    <w:rsid w:val="00205D64"/>
    <w:rsid w:val="002147A5"/>
    <w:rsid w:val="00214A1F"/>
    <w:rsid w:val="00215A08"/>
    <w:rsid w:val="00235E36"/>
    <w:rsid w:val="00245429"/>
    <w:rsid w:val="002545CE"/>
    <w:rsid w:val="0027391D"/>
    <w:rsid w:val="00280DF4"/>
    <w:rsid w:val="00285267"/>
    <w:rsid w:val="002942FC"/>
    <w:rsid w:val="002D1A8E"/>
    <w:rsid w:val="002D3847"/>
    <w:rsid w:val="002F48D0"/>
    <w:rsid w:val="002F7161"/>
    <w:rsid w:val="00300844"/>
    <w:rsid w:val="00327BA6"/>
    <w:rsid w:val="00350E71"/>
    <w:rsid w:val="00394940"/>
    <w:rsid w:val="003D2B5C"/>
    <w:rsid w:val="003E4BA7"/>
    <w:rsid w:val="003E7382"/>
    <w:rsid w:val="003F13F9"/>
    <w:rsid w:val="003F39A8"/>
    <w:rsid w:val="004258F3"/>
    <w:rsid w:val="0043201B"/>
    <w:rsid w:val="0044234E"/>
    <w:rsid w:val="00491DF5"/>
    <w:rsid w:val="004C5E74"/>
    <w:rsid w:val="004D5916"/>
    <w:rsid w:val="004D6DD7"/>
    <w:rsid w:val="005203F1"/>
    <w:rsid w:val="005305DD"/>
    <w:rsid w:val="00554C09"/>
    <w:rsid w:val="005848EA"/>
    <w:rsid w:val="00585F91"/>
    <w:rsid w:val="005A1611"/>
    <w:rsid w:val="005E7096"/>
    <w:rsid w:val="005F4B5C"/>
    <w:rsid w:val="0062107A"/>
    <w:rsid w:val="00642C1C"/>
    <w:rsid w:val="006561AF"/>
    <w:rsid w:val="00673C62"/>
    <w:rsid w:val="00710958"/>
    <w:rsid w:val="00716F23"/>
    <w:rsid w:val="00720843"/>
    <w:rsid w:val="00742EBD"/>
    <w:rsid w:val="0074593E"/>
    <w:rsid w:val="00745FD7"/>
    <w:rsid w:val="00765436"/>
    <w:rsid w:val="00776D45"/>
    <w:rsid w:val="007834E9"/>
    <w:rsid w:val="00797699"/>
    <w:rsid w:val="007C1159"/>
    <w:rsid w:val="007C530E"/>
    <w:rsid w:val="007D343B"/>
    <w:rsid w:val="007D3596"/>
    <w:rsid w:val="007E0588"/>
    <w:rsid w:val="008445A6"/>
    <w:rsid w:val="008508F1"/>
    <w:rsid w:val="008614AB"/>
    <w:rsid w:val="0086525F"/>
    <w:rsid w:val="00881A51"/>
    <w:rsid w:val="00882B75"/>
    <w:rsid w:val="00896B73"/>
    <w:rsid w:val="008A1576"/>
    <w:rsid w:val="008B06C6"/>
    <w:rsid w:val="008B3F25"/>
    <w:rsid w:val="008C11A3"/>
    <w:rsid w:val="008C172D"/>
    <w:rsid w:val="008D3FED"/>
    <w:rsid w:val="008E3F69"/>
    <w:rsid w:val="008E61ED"/>
    <w:rsid w:val="008E76C7"/>
    <w:rsid w:val="008F4744"/>
    <w:rsid w:val="00917BC5"/>
    <w:rsid w:val="00917E4C"/>
    <w:rsid w:val="00965F4D"/>
    <w:rsid w:val="00985691"/>
    <w:rsid w:val="009A300E"/>
    <w:rsid w:val="00A2705B"/>
    <w:rsid w:val="00A4285C"/>
    <w:rsid w:val="00A51129"/>
    <w:rsid w:val="00A52C21"/>
    <w:rsid w:val="00A83749"/>
    <w:rsid w:val="00AA7855"/>
    <w:rsid w:val="00AC7A3F"/>
    <w:rsid w:val="00AD74D5"/>
    <w:rsid w:val="00B275CE"/>
    <w:rsid w:val="00B5688D"/>
    <w:rsid w:val="00B706DB"/>
    <w:rsid w:val="00B816CC"/>
    <w:rsid w:val="00B91232"/>
    <w:rsid w:val="00BC1F65"/>
    <w:rsid w:val="00BF462F"/>
    <w:rsid w:val="00C16573"/>
    <w:rsid w:val="00C16F20"/>
    <w:rsid w:val="00C727F7"/>
    <w:rsid w:val="00C95F3D"/>
    <w:rsid w:val="00CB6C00"/>
    <w:rsid w:val="00CF3982"/>
    <w:rsid w:val="00CF799E"/>
    <w:rsid w:val="00D00A71"/>
    <w:rsid w:val="00D13632"/>
    <w:rsid w:val="00D162C7"/>
    <w:rsid w:val="00D20621"/>
    <w:rsid w:val="00D33E86"/>
    <w:rsid w:val="00D413B4"/>
    <w:rsid w:val="00D557C8"/>
    <w:rsid w:val="00D656F4"/>
    <w:rsid w:val="00D766BE"/>
    <w:rsid w:val="00D97DD2"/>
    <w:rsid w:val="00DA0BD4"/>
    <w:rsid w:val="00DE3FF7"/>
    <w:rsid w:val="00E0016B"/>
    <w:rsid w:val="00E54C06"/>
    <w:rsid w:val="00E63B7B"/>
    <w:rsid w:val="00E815D6"/>
    <w:rsid w:val="00E85648"/>
    <w:rsid w:val="00EA7E07"/>
    <w:rsid w:val="00EB1637"/>
    <w:rsid w:val="00ED2A41"/>
    <w:rsid w:val="00F733B2"/>
    <w:rsid w:val="00FA0E57"/>
    <w:rsid w:val="00FA7729"/>
    <w:rsid w:val="00FD1338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3EAA7"/>
  <w15:chartTrackingRefBased/>
  <w15:docId w15:val="{EF7ACB9E-69D7-408D-AEAD-79296676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D3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343B"/>
    <w:rPr>
      <w:color w:val="0000FF"/>
      <w:u w:val="single"/>
    </w:rPr>
  </w:style>
  <w:style w:type="character" w:styleId="FollowedHyperlink">
    <w:name w:val="FollowedHyperlink"/>
    <w:rsid w:val="0062107A"/>
    <w:rPr>
      <w:color w:val="800080"/>
      <w:u w:val="single"/>
    </w:rPr>
  </w:style>
  <w:style w:type="table" w:styleId="TableGrid">
    <w:name w:val="Table Grid"/>
    <w:basedOn w:val="TableNormal"/>
    <w:rsid w:val="00965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8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3847"/>
    <w:rPr>
      <w:b/>
      <w:bCs/>
      <w:kern w:val="36"/>
      <w:sz w:val="48"/>
      <w:szCs w:val="48"/>
    </w:rPr>
  </w:style>
  <w:style w:type="paragraph" w:customStyle="1" w:styleId="Default">
    <w:name w:val="Default"/>
    <w:rsid w:val="002D3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rsid w:val="00235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35E36"/>
    <w:rPr>
      <w:lang w:val="sr-Latn-CS" w:eastAsia="sr-Latn-CS"/>
    </w:rPr>
  </w:style>
  <w:style w:type="paragraph" w:styleId="Footer">
    <w:name w:val="footer"/>
    <w:basedOn w:val="Normal"/>
    <w:link w:val="FooterChar"/>
    <w:rsid w:val="00235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35E36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0A7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33937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mira">
    <w:name w:val="mira"/>
    <w:basedOn w:val="Normal"/>
    <w:rsid w:val="00033937"/>
    <w:pPr>
      <w:widowControl/>
      <w:autoSpaceDE/>
      <w:autoSpaceDN/>
      <w:adjustRightInd/>
      <w:jc w:val="both"/>
    </w:pPr>
    <w:rPr>
      <w:rFonts w:ascii="Dutch" w:hAnsi="Dutch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a%2010.1_Zbirni%20pregled%20nenastavnog%20osoblja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Prilozi/Prilog%2010.2_analiza%20anketa%20zaposleni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10.1.%20Sematska%20organizzaciona%20struktur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CB971-9819-48C1-8374-BF7FCE2CE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1732</Words>
  <Characters>9874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11583</CharactersWithSpaces>
  <SharedDoc>false</SharedDoc>
  <HLinks>
    <vt:vector size="114" baseType="variant">
      <vt:variant>
        <vt:i4>4980772</vt:i4>
      </vt:variant>
      <vt:variant>
        <vt:i4>54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10.1.docx</vt:lpwstr>
      </vt:variant>
      <vt:variant>
        <vt:lpwstr/>
      </vt:variant>
      <vt:variant>
        <vt:i4>6684730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2031618</vt:i4>
      </vt:variant>
      <vt:variant>
        <vt:i4>48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7667754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../Prilozi/IzvestajOSamovrednovanjuSkoleDecembar2011/Prilozi/statut.pdf</vt:lpwstr>
      </vt:variant>
      <vt:variant>
        <vt:lpwstr/>
      </vt:variant>
      <vt:variant>
        <vt:i4>5439562</vt:i4>
      </vt:variant>
      <vt:variant>
        <vt:i4>42</vt:i4>
      </vt:variant>
      <vt:variant>
        <vt:i4>0</vt:i4>
      </vt:variant>
      <vt:variant>
        <vt:i4>5</vt:i4>
      </vt:variant>
      <vt:variant>
        <vt:lpwstr>../Tabele/T.10.1.doc</vt:lpwstr>
      </vt:variant>
      <vt:variant>
        <vt:lpwstr/>
      </vt:variant>
      <vt:variant>
        <vt:i4>3080280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262228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262228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2031618</vt:i4>
      </vt:variant>
      <vt:variant>
        <vt:i4>6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73</cp:revision>
  <dcterms:created xsi:type="dcterms:W3CDTF">2019-05-16T07:41:00Z</dcterms:created>
  <dcterms:modified xsi:type="dcterms:W3CDTF">2022-12-26T13:16:00Z</dcterms:modified>
</cp:coreProperties>
</file>