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C71AD6" w:rsidRPr="00C25702" w14:paraId="7FDE4D10" w14:textId="77777777" w:rsidTr="00C71AD6">
        <w:tc>
          <w:tcPr>
            <w:tcW w:w="8954" w:type="dxa"/>
            <w:shd w:val="clear" w:color="auto" w:fill="E0E0E0"/>
          </w:tcPr>
          <w:p w14:paraId="5826FE1D" w14:textId="77777777" w:rsidR="00A66028" w:rsidRPr="00C25702" w:rsidRDefault="00A66028" w:rsidP="008E1D6B">
            <w:pPr>
              <w:widowControl/>
              <w:spacing w:before="40" w:after="4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9: Квалитет уџбеника, литературе, библиотечких и информатичких ресурса</w:t>
            </w:r>
          </w:p>
          <w:p w14:paraId="6AEF7812" w14:textId="77777777" w:rsidR="00A66028" w:rsidRPr="00C25702" w:rsidRDefault="00A66028" w:rsidP="008E1D6B">
            <w:pPr>
              <w:widowControl/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>Квалитет уџбеника, литературе, библиотечких и информатичких ресурса се обезбеђује доношењем и спровођењем одговарајућег подзаконског акта.</w:t>
            </w:r>
          </w:p>
        </w:tc>
      </w:tr>
      <w:tr w:rsidR="00A66028" w:rsidRPr="00C25702" w14:paraId="50D9C0F4" w14:textId="77777777" w:rsidTr="00C71AD6">
        <w:tc>
          <w:tcPr>
            <w:tcW w:w="8954" w:type="dxa"/>
          </w:tcPr>
          <w:p w14:paraId="733AAAA4" w14:textId="74707B15" w:rsidR="008E1D6B" w:rsidRPr="008E1D6B" w:rsidRDefault="008E1D6B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</w:t>
            </w: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 обезбеђује студентима уџбенике и другу литературу, неопходну за савладавање градива, на основу плана и студијског програма на свим нивоима студија. Списак препоручених уџбеника и литературе за сваки предмет доступан је студентима на сајту </w:t>
            </w:r>
            <w:r w:rsidR="00124CA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Школе</w:t>
            </w: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 (студентска секција  Bookshop). Настава из сваког предмета покривена је одговарајућим основним уџбеницима, помоћним уџбеницима (практикуми, збирке, радне свеске), скриптама и сл. </w:t>
            </w:r>
          </w:p>
          <w:p w14:paraId="45448BF1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Школа благовремено обезбеђује студентима уџбенике и другу потребну литературу преко скриптарнице Школе и то како публикације које чији је издавач Школа, тако и публикације других издавача. Такође, студентима је у библиотеци школе доступна литература која ја описима наставних предмета предвиђена као обавезна и то у више примерака. У циљу што квалитетнијег савлађивања наставног градива, за највећи број предмета доступна је и препоручена допунска литература. </w:t>
            </w:r>
          </w:p>
          <w:p w14:paraId="71B9654E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Библиотека је лоцирана у згради Школе и располаже са преко1.000 наслова и савременом опремом за рад. Прописана је процедура коришћења библиотекарског фонда од стране студената, као и коришћења читаонице у оквиру библиотеке. Са овом процедуром корисници библиотеке се упознају у самој библиотеци, као и на web сајту Школе. У читаоници библиотеке на располагању је девет интернет прикључака тако да студенти,  у оквиру Академске мреже, могу да користе бројне стране и домаће базе података и литературу из тих база. Поред ових интернет прикључака, студентима је на располагању још преко 20 интернет прикључака у слушаоницама, у два рачунарска кабинета и кабинетима свих наставника и сарадника (око 50). У библиотеци је запослен стручан и мотивисан кадар - један самостални виши књижничар и један библиотекар. Школа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систематично прати, оцењује и унапређује структуру и обим библиотечког фонда.</w:t>
            </w:r>
          </w:p>
          <w:p w14:paraId="7070497C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циљу обезбеђења квалитета уџбеника, Школа је донела Правилник о уџбеницима којим се прописује минимум стандарда квалитета предметног уџбеника и поступак провере квалитета у одређеним временским интервалима, не дужим од три године.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Настава из сваког предмета је покривена одговарајућим уџбеницима и другим училима, који су унапред познати и објављени.</w:t>
            </w:r>
          </w:p>
          <w:p w14:paraId="1EC00678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Расположиви информатички расурси су на завидном нивоу. Преко ИТ инфраструктуре и академске мреже широко су доступне релевантне и актуелне информације неоподне за развој потребних компетенција студената, наставника и ненаставног особља. Информатички и библиотечки ресурси су доступни студентима сваког радног  дана   од  8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ујутру до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20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увече, укључујући, по потреби, и рад суботом и недељом.</w:t>
            </w:r>
          </w:p>
          <w:p w14:paraId="47C4FD23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6B3015DB" w14:textId="77777777" w:rsidR="00C92E07" w:rsidRPr="008E1D6B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има све елементе обезбеђења квалитета уџбеничке литературе, библиотеку и информатичке ресурсе организоване на начин прилагођен потребама Школе.</w:t>
            </w:r>
          </w:p>
          <w:p w14:paraId="2EC37336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наредном периоду треба запослене у библиотеци редовније упућивати на обуке из области библотекарства, покренути развојне и кооперативне активности са библиотекама Школа, као и међубиблиотекарску сарадњу у оквиру Конзорцијума библиотека Србије.</w:t>
            </w:r>
          </w:p>
          <w:p w14:paraId="1B27B3D0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Континуирана набавка репрезентативних издања књига, часописа и референтних уџбеника за </w:t>
            </w:r>
            <w:r w:rsidRPr="00C25702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све студијске програме који се реализују у Школи. Даљи развој ИТ опреме и развој међубиблиотекарске сарадње и сарадње са библиотекама у граду.   </w:t>
            </w:r>
          </w:p>
          <w:p w14:paraId="5D29FA31" w14:textId="77777777" w:rsidR="00C92E07" w:rsidRPr="008E1D6B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8E1D6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Стандард 9 је испуњен.  Усвајањем предложених уџбеника као основне литературе, уз сваки наставни предмет из студијског програма, направљен је само први корак у домену квалитета уџбеника. Анализа квалитета ће се вршити у току реализације програма, на основу мишљења студената, наставника и сарадника. У оквиру делатности библиотеке, потребно је изградити већу читаоницу,  решавати проблем магацинског простора   и непрекидно обогаћивати библиотечки фонд у складу са све већим потребама студената, наставника и сарадника. У рачунском центру  је потребно  вршити сталну имплементацију нових информационих и комуникационих технологија.</w:t>
            </w:r>
          </w:p>
          <w:p w14:paraId="2E701C84" w14:textId="77777777" w:rsidR="00C92E07" w:rsidRPr="00C25702" w:rsidRDefault="00C92E07" w:rsidP="008E1D6B">
            <w:pPr>
              <w:widowControl/>
              <w:spacing w:before="120"/>
              <w:jc w:val="both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C25702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6D24D056" w14:textId="77777777" w:rsidR="00C92E07" w:rsidRPr="00C25702" w:rsidRDefault="00C92E07" w:rsidP="008E1D6B">
            <w:pPr>
              <w:spacing w:before="40" w:after="40"/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C25702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</w:t>
            </w: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lastRenderedPageBreak/>
              <w:t xml:space="preserve">аналаизе </w:t>
            </w:r>
            <w:r w:rsidRPr="00C25702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C25702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C25702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C25702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C25702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  <w:p w14:paraId="03A05945" w14:textId="77777777" w:rsidR="002A0DFC" w:rsidRPr="00C25702" w:rsidRDefault="002A0DFC" w:rsidP="008E1D6B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C25702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98D628A" w14:textId="77777777" w:rsidR="002A0DFC" w:rsidRPr="00C25702" w:rsidRDefault="002A0DFC" w:rsidP="008E1D6B">
            <w:pPr>
              <w:widowControl/>
              <w:suppressAutoHyphens/>
              <w:autoSpaceDE/>
              <w:autoSpaceDN/>
              <w:adjustRightInd/>
              <w:spacing w:before="40" w:after="4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Постојање општег акта о уџбеницима и поступање по њему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2A0DFC" w:rsidRPr="00C25702" w14:paraId="4631F093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013BBA4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3012396E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2A0DFC" w:rsidRPr="00C25702" w14:paraId="5336D922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04E7196A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30C69B1A" w14:textId="3518EB94" w:rsidR="002A0DFC" w:rsidRPr="00C25702" w:rsidRDefault="002A0DFC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Правилник о уџбеницима</w:t>
                  </w:r>
                  <w:r w:rsidR="00C632CC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другим наставним средствима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  <w:p w14:paraId="39C0F692" w14:textId="20FD6754" w:rsidR="005160ED" w:rsidRPr="00C25702" w:rsidRDefault="005160ED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Развијена вишегодишња издавачка делатност +++</w:t>
                  </w:r>
                </w:p>
                <w:p w14:paraId="4E38F2A3" w14:textId="78DE9705" w:rsidR="002A0DFC" w:rsidRPr="00C25702" w:rsidRDefault="002A0DFC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</w:t>
                  </w:r>
                  <w:r w:rsidR="005160ED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људски ресурси </w:t>
                  </w:r>
                  <w:r w:rsidR="0060710D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124CA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са богатим издавачким искуством +++</w:t>
                  </w:r>
                </w:p>
                <w:p w14:paraId="79C127E9" w14:textId="37CA3A86" w:rsidR="002A0DFC" w:rsidRPr="00C25702" w:rsidRDefault="002A0DFC" w:rsidP="008E1D6B">
                  <w:pPr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225078A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Weaknesses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17BE4FE" w14:textId="52E6E53B" w:rsidR="002A0DFC" w:rsidRPr="00C25702" w:rsidRDefault="00280316" w:rsidP="008E1D6B">
                  <w:pPr>
                    <w:pStyle w:val="Default"/>
                    <w:spacing w:before="40" w:after="40"/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</w:pPr>
                  <w:r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 поступању</w:t>
                  </w:r>
                  <w:r w:rsidR="00571E4D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по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sr-Cyrl-CS"/>
                    </w:rPr>
                    <w:t xml:space="preserve">Правилнику о уџбеницима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учествуј</w:t>
                  </w:r>
                  <w:r w:rsidR="007E0292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е</w:t>
                  </w:r>
                  <w:r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C25702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велики броја субјеката, али правилником није јасно прецзирана њихова координација, односно ко је надлежан за њихово складно функционисање.</w:t>
                  </w:r>
                </w:p>
                <w:p w14:paraId="2BFE3B54" w14:textId="2E286052" w:rsidR="002A0DFC" w:rsidRPr="00C25702" w:rsidRDefault="002A0DFC" w:rsidP="008E1D6B">
                  <w:pPr>
                    <w:pStyle w:val="ListParagraph"/>
                    <w:widowControl/>
                    <w:autoSpaceDE/>
                    <w:adjustRightInd/>
                    <w:spacing w:before="40" w:after="40"/>
                    <w:ind w:left="0"/>
                    <w:contextualSpacing w:val="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A0DFC" w:rsidRPr="00C25702" w14:paraId="016EB2CD" w14:textId="77777777" w:rsidTr="00C55FE6">
              <w:trPr>
                <w:trHeight w:val="1378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A34E276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Opportunities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9E0C566" w14:textId="53ABD624" w:rsidR="002A0DFC" w:rsidRPr="00C25702" w:rsidRDefault="005160ED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Искуства </w:t>
                  </w:r>
                  <w:r w:rsidR="002A0DFC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издавачкој делатности наставника који су радили на другим викошколским установама.+++ 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F01AFB3" w14:textId="77777777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C25702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EBE311C" w14:textId="0242FC52" w:rsidR="002A0DFC" w:rsidRPr="00C25702" w:rsidRDefault="002A0DFC" w:rsidP="008E1D6B">
                  <w:pPr>
                    <w:widowControl/>
                    <w:autoSpaceDE/>
                    <w:adjustRightInd/>
                    <w:spacing w:before="40" w:after="4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="005160ED"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C25702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обзиром на велики број актера у процесу издавања уџбеника постоји опасност од превеликог администрирања и успоравања процеса. ++</w:t>
                  </w:r>
                </w:p>
              </w:tc>
            </w:tr>
          </w:tbl>
          <w:p w14:paraId="140A32FF" w14:textId="178EAD6D" w:rsidR="002A0DFC" w:rsidRPr="00C25702" w:rsidRDefault="002A0DFC" w:rsidP="008E1D6B">
            <w:pPr>
              <w:widowControl/>
              <w:autoSpaceDE/>
              <w:adjustRightInd/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C25702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C2570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25702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097461D4" w14:textId="58CBD45C" w:rsidR="003F2C3A" w:rsidRPr="00C25702" w:rsidRDefault="002A0DFC" w:rsidP="008E1D6B">
            <w:pPr>
              <w:widowControl/>
              <w:spacing w:before="40" w:after="40"/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ru-RU"/>
              </w:rPr>
            </w:pPr>
            <w:r w:rsidRPr="00C25702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C25702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8F1326" w:rsidRPr="00D2244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Р</w:t>
            </w:r>
            <w:r w:rsidR="00280316" w:rsidRPr="00D2244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евизиј</w:t>
            </w:r>
            <w:r w:rsidR="008F1326" w:rsidRPr="00D2244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а</w:t>
            </w:r>
            <w:r w:rsidR="00280316" w:rsidRPr="00D2244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Правилника о уџбеницима </w:t>
            </w:r>
            <w:r w:rsidR="003526E3" w:rsidRPr="00D2244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како би се отклонили његови кључни недостаци у погледу:</w:t>
            </w:r>
            <w:r w:rsidR="006E5D37" w:rsidRPr="00D2244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</w:t>
            </w:r>
            <w:r w:rsidR="003526E3" w:rsidRPr="00D22440">
              <w:rPr>
                <w:rFonts w:ascii="Arial Narrow" w:hAnsi="Arial Narrow"/>
                <w:iCs/>
                <w:sz w:val="22"/>
                <w:szCs w:val="22"/>
                <w:lang w:val="ru-RU"/>
              </w:rPr>
              <w:t>прецзирања координације субјеката за њихово складно функционисање</w:t>
            </w:r>
            <w:r w:rsidR="006E5D37" w:rsidRPr="00D22440">
              <w:rPr>
                <w:rFonts w:ascii="Arial Narrow" w:hAnsi="Arial Narrow"/>
                <w:iCs/>
                <w:sz w:val="22"/>
                <w:szCs w:val="22"/>
                <w:lang w:val="ru-RU"/>
              </w:rPr>
              <w:t xml:space="preserve">, и </w:t>
            </w:r>
            <w:r w:rsidR="003526E3" w:rsidRPr="00D22440">
              <w:rPr>
                <w:rFonts w:ascii="Arial Narrow" w:hAnsi="Arial Narrow"/>
                <w:iCs/>
                <w:sz w:val="22"/>
                <w:szCs w:val="22"/>
                <w:lang w:val="ru-RU"/>
              </w:rPr>
              <w:t>дефинисања састава Комисије за издавачку делатност.</w:t>
            </w:r>
          </w:p>
        </w:tc>
      </w:tr>
      <w:tr w:rsidR="00A66028" w:rsidRPr="00C25702" w14:paraId="50B1F9A0" w14:textId="77777777" w:rsidTr="00C71AD6">
        <w:trPr>
          <w:trHeight w:val="170"/>
        </w:trPr>
        <w:tc>
          <w:tcPr>
            <w:tcW w:w="8954" w:type="dxa"/>
          </w:tcPr>
          <w:p w14:paraId="4CCC40A8" w14:textId="77777777" w:rsidR="00A66028" w:rsidRPr="00C25702" w:rsidRDefault="00A66028" w:rsidP="008E1D6B">
            <w:pPr>
              <w:widowControl/>
              <w:autoSpaceDE/>
              <w:adjustRightInd/>
              <w:spacing w:before="40" w:after="4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C25702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C25702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9</w:t>
            </w:r>
          </w:p>
          <w:bookmarkStart w:id="0" w:name="_Hlk41213181"/>
          <w:p w14:paraId="52D95C13" w14:textId="3B800F7B" w:rsidR="00D15DF8" w:rsidRPr="00C25702" w:rsidRDefault="00755011" w:rsidP="008E1D6B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C25702">
              <w:fldChar w:fldCharType="begin"/>
            </w:r>
            <w:r w:rsidR="00876202">
              <w:instrText>HYPERLINK "../Tabele/Tabela%209.1%20%20Broj%20i%20vrsta%20BJ%20u%20ustanovi.docx"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Табела 9.1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и врста библиотечких јединица у високошколској установи </w:t>
            </w:r>
            <w:r w:rsidR="00192031" w:rsidRPr="00C25702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7AE2615" w14:textId="76CA513F" w:rsidR="00D15DF8" w:rsidRPr="00C25702" w:rsidRDefault="00876202" w:rsidP="008E1D6B">
            <w:pPr>
              <w:widowControl/>
              <w:autoSpaceDE/>
              <w:adjustRightInd/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hyperlink r:id="rId7" w:history="1">
              <w:r w:rsidR="00D15DF8" w:rsidRPr="00C2570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9.2</w:t>
              </w:r>
            </w:hyperlink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Попис информатичких ресурса</w:t>
            </w:r>
          </w:p>
          <w:bookmarkEnd w:id="0"/>
          <w:p w14:paraId="36F37F57" w14:textId="3EDF1E31" w:rsidR="00525282" w:rsidRPr="00C25702" w:rsidRDefault="00755011" w:rsidP="008E1D6B">
            <w:pPr>
              <w:spacing w:before="40" w:after="40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C25702">
              <w:fldChar w:fldCharType="begin"/>
            </w:r>
            <w:r w:rsidR="00876202">
              <w:instrText>HYPERLINK "../Prilozi/Прилог%209.1%20Правилник%20о%20уџбеницима.pdf"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9.1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Општи акт о уџбеницима</w:t>
            </w:r>
          </w:p>
          <w:bookmarkStart w:id="1" w:name="_Hlk41143702"/>
          <w:p w14:paraId="3668F942" w14:textId="6D179EB5" w:rsidR="00D15DF8" w:rsidRPr="00C25702" w:rsidRDefault="00530090" w:rsidP="008E1D6B">
            <w:pPr>
              <w:spacing w:before="40" w:after="40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C25702">
              <w:fldChar w:fldCharType="begin"/>
            </w:r>
            <w:r w:rsidR="00876202">
              <w:instrText>HYPERLINK "../Prilozi/Prilog%208.2.doc"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</w:t>
            </w:r>
            <w:r w:rsidR="008B7A46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9.2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Списак уџбеника и монографија чији су аутори наставници запослени на високошколској  установи 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sr-Cyrl-CS"/>
              </w:rPr>
              <w:t>(са редним бројевима)</w:t>
            </w:r>
            <w:r w:rsidR="00525282"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bookmarkEnd w:id="1"/>
          <w:p w14:paraId="742F2BD8" w14:textId="314EB5AA" w:rsidR="00D15DF8" w:rsidRPr="00C25702" w:rsidRDefault="00530090" w:rsidP="008E1D6B">
            <w:pPr>
              <w:spacing w:before="40" w:after="40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C25702">
              <w:fldChar w:fldCharType="begin"/>
            </w:r>
            <w:r w:rsidR="00876202">
              <w:instrText>HYPERLINK "../Prilozi/Prilog%209.3..docx"</w:instrText>
            </w:r>
            <w:r w:rsidRPr="00C25702">
              <w:fldChar w:fldCharType="separate"/>
            </w:r>
            <w:r w:rsidR="00D15DF8"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9.3</w:t>
            </w:r>
            <w:r w:rsidRPr="00C25702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2" w:name="_GoBack"/>
            <w:bookmarkEnd w:id="2"/>
            <w:r w:rsidR="00D15DF8" w:rsidRPr="00C2570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D15DF8" w:rsidRPr="00C25702">
              <w:rPr>
                <w:rFonts w:ascii="Arial Narrow" w:hAnsi="Arial Narrow"/>
                <w:sz w:val="22"/>
                <w:szCs w:val="22"/>
                <w:lang w:val="sr-Cyrl-CS"/>
              </w:rPr>
              <w:t>Однос броја уџбеника и монографија (заједно) чији су аутори наставници запослени на установи са бројем наставника на установи</w:t>
            </w:r>
            <w:r w:rsidR="00525282" w:rsidRPr="00C2570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97C5A" w:rsidRPr="00C2570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Pr="00C25702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56C24837" w14:textId="77777777" w:rsidR="002D1A8E" w:rsidRPr="00E723D9" w:rsidRDefault="002D1A8E" w:rsidP="008E1D6B">
      <w:pPr>
        <w:rPr>
          <w:rFonts w:ascii="Arial Narrow" w:hAnsi="Arial Narrow"/>
          <w:lang w:val="sr-Latn-RS"/>
        </w:rPr>
      </w:pPr>
    </w:p>
    <w:sectPr w:rsidR="002D1A8E" w:rsidRPr="00E723D9" w:rsidSect="009161FF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4CB01F" w14:textId="77777777" w:rsidR="007E0292" w:rsidRDefault="007E0292" w:rsidP="009161FF">
      <w:r>
        <w:separator/>
      </w:r>
    </w:p>
  </w:endnote>
  <w:endnote w:type="continuationSeparator" w:id="0">
    <w:p w14:paraId="67D782B1" w14:textId="77777777" w:rsidR="007E0292" w:rsidRDefault="007E0292" w:rsidP="0091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B3CB06" w14:textId="77777777" w:rsidR="007E0292" w:rsidRDefault="007E0292" w:rsidP="009161FF">
      <w:r>
        <w:separator/>
      </w:r>
    </w:p>
  </w:footnote>
  <w:footnote w:type="continuationSeparator" w:id="0">
    <w:p w14:paraId="42D9F2F9" w14:textId="77777777" w:rsidR="007E0292" w:rsidRDefault="007E0292" w:rsidP="00916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9D6805"/>
    <w:multiLevelType w:val="hybridMultilevel"/>
    <w:tmpl w:val="F1EA391C"/>
    <w:lvl w:ilvl="0" w:tplc="8ECA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14D1E"/>
    <w:multiLevelType w:val="hybridMultilevel"/>
    <w:tmpl w:val="6F4A08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B616FB"/>
    <w:multiLevelType w:val="hybridMultilevel"/>
    <w:tmpl w:val="A09647F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5142C"/>
    <w:multiLevelType w:val="multilevel"/>
    <w:tmpl w:val="777EBF4A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B1E09"/>
    <w:multiLevelType w:val="hybridMultilevel"/>
    <w:tmpl w:val="EEFE2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41D40E0"/>
    <w:multiLevelType w:val="hybridMultilevel"/>
    <w:tmpl w:val="A4F4C74E"/>
    <w:lvl w:ilvl="0" w:tplc="D346A39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1F6CB40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9"/>
  </w:num>
  <w:num w:numId="8">
    <w:abstractNumId w:val="24"/>
  </w:num>
  <w:num w:numId="9">
    <w:abstractNumId w:val="8"/>
  </w:num>
  <w:num w:numId="10">
    <w:abstractNumId w:val="27"/>
  </w:num>
  <w:num w:numId="11">
    <w:abstractNumId w:val="2"/>
  </w:num>
  <w:num w:numId="12">
    <w:abstractNumId w:val="25"/>
  </w:num>
  <w:num w:numId="13">
    <w:abstractNumId w:val="10"/>
  </w:num>
  <w:num w:numId="14">
    <w:abstractNumId w:val="3"/>
  </w:num>
  <w:num w:numId="15">
    <w:abstractNumId w:val="26"/>
  </w:num>
  <w:num w:numId="16">
    <w:abstractNumId w:val="19"/>
  </w:num>
  <w:num w:numId="17">
    <w:abstractNumId w:val="11"/>
  </w:num>
  <w:num w:numId="18">
    <w:abstractNumId w:val="28"/>
  </w:num>
  <w:num w:numId="19">
    <w:abstractNumId w:val="23"/>
  </w:num>
  <w:num w:numId="20">
    <w:abstractNumId w:val="21"/>
  </w:num>
  <w:num w:numId="21">
    <w:abstractNumId w:val="0"/>
  </w:num>
  <w:num w:numId="22">
    <w:abstractNumId w:val="15"/>
  </w:num>
  <w:num w:numId="23">
    <w:abstractNumId w:val="16"/>
  </w:num>
  <w:num w:numId="24">
    <w:abstractNumId w:val="5"/>
  </w:num>
  <w:num w:numId="25">
    <w:abstractNumId w:val="18"/>
  </w:num>
  <w:num w:numId="26">
    <w:abstractNumId w:val="6"/>
  </w:num>
  <w:num w:numId="27">
    <w:abstractNumId w:val="13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422A7"/>
    <w:rsid w:val="00060527"/>
    <w:rsid w:val="00072CB4"/>
    <w:rsid w:val="000E15CC"/>
    <w:rsid w:val="000E2D71"/>
    <w:rsid w:val="000F4594"/>
    <w:rsid w:val="000F7B80"/>
    <w:rsid w:val="00124CA2"/>
    <w:rsid w:val="00131F31"/>
    <w:rsid w:val="001478A4"/>
    <w:rsid w:val="001708F5"/>
    <w:rsid w:val="00192031"/>
    <w:rsid w:val="001927D7"/>
    <w:rsid w:val="001932AF"/>
    <w:rsid w:val="001952F4"/>
    <w:rsid w:val="001C5222"/>
    <w:rsid w:val="001D30FC"/>
    <w:rsid w:val="001D3B32"/>
    <w:rsid w:val="001D630C"/>
    <w:rsid w:val="00270F9D"/>
    <w:rsid w:val="0027391D"/>
    <w:rsid w:val="00280316"/>
    <w:rsid w:val="00290A82"/>
    <w:rsid w:val="002A0DFC"/>
    <w:rsid w:val="002D1A8E"/>
    <w:rsid w:val="002E3D77"/>
    <w:rsid w:val="002E68BC"/>
    <w:rsid w:val="0030123E"/>
    <w:rsid w:val="0030295A"/>
    <w:rsid w:val="00310E24"/>
    <w:rsid w:val="00327BA6"/>
    <w:rsid w:val="0034239F"/>
    <w:rsid w:val="00350E71"/>
    <w:rsid w:val="003526E3"/>
    <w:rsid w:val="003679C5"/>
    <w:rsid w:val="00376507"/>
    <w:rsid w:val="003D1D6B"/>
    <w:rsid w:val="003D1F07"/>
    <w:rsid w:val="003E62FF"/>
    <w:rsid w:val="003F2C3A"/>
    <w:rsid w:val="0040533F"/>
    <w:rsid w:val="00410A60"/>
    <w:rsid w:val="0041224D"/>
    <w:rsid w:val="00433F73"/>
    <w:rsid w:val="00454B91"/>
    <w:rsid w:val="00473EC5"/>
    <w:rsid w:val="004833A7"/>
    <w:rsid w:val="004914ED"/>
    <w:rsid w:val="004C1783"/>
    <w:rsid w:val="004C3D4F"/>
    <w:rsid w:val="005079B5"/>
    <w:rsid w:val="005160ED"/>
    <w:rsid w:val="00525282"/>
    <w:rsid w:val="00527173"/>
    <w:rsid w:val="00530090"/>
    <w:rsid w:val="005305DD"/>
    <w:rsid w:val="00571E4D"/>
    <w:rsid w:val="005848EA"/>
    <w:rsid w:val="00586531"/>
    <w:rsid w:val="00591062"/>
    <w:rsid w:val="00592DA6"/>
    <w:rsid w:val="005C59A6"/>
    <w:rsid w:val="005E704E"/>
    <w:rsid w:val="00605A41"/>
    <w:rsid w:val="0060710D"/>
    <w:rsid w:val="006077A6"/>
    <w:rsid w:val="0061262C"/>
    <w:rsid w:val="00637241"/>
    <w:rsid w:val="00641D05"/>
    <w:rsid w:val="00665DEB"/>
    <w:rsid w:val="00697C5A"/>
    <w:rsid w:val="006A2FA5"/>
    <w:rsid w:val="006A4C48"/>
    <w:rsid w:val="006A62E2"/>
    <w:rsid w:val="006E5D37"/>
    <w:rsid w:val="006F5B26"/>
    <w:rsid w:val="00716F23"/>
    <w:rsid w:val="00742B97"/>
    <w:rsid w:val="00755011"/>
    <w:rsid w:val="00776FB6"/>
    <w:rsid w:val="007C4750"/>
    <w:rsid w:val="007E0292"/>
    <w:rsid w:val="007E04A0"/>
    <w:rsid w:val="007E2980"/>
    <w:rsid w:val="007E7FAF"/>
    <w:rsid w:val="00816A70"/>
    <w:rsid w:val="00851E5C"/>
    <w:rsid w:val="0087038F"/>
    <w:rsid w:val="00876202"/>
    <w:rsid w:val="00876985"/>
    <w:rsid w:val="00891D99"/>
    <w:rsid w:val="008B7A46"/>
    <w:rsid w:val="008C2A28"/>
    <w:rsid w:val="008D56B4"/>
    <w:rsid w:val="008E1D6B"/>
    <w:rsid w:val="008F1326"/>
    <w:rsid w:val="008F1EB9"/>
    <w:rsid w:val="00905CC7"/>
    <w:rsid w:val="009161FF"/>
    <w:rsid w:val="00920DC8"/>
    <w:rsid w:val="00946605"/>
    <w:rsid w:val="009728E1"/>
    <w:rsid w:val="00972C56"/>
    <w:rsid w:val="00985691"/>
    <w:rsid w:val="009A569C"/>
    <w:rsid w:val="009C0243"/>
    <w:rsid w:val="009F40DA"/>
    <w:rsid w:val="00A34D4E"/>
    <w:rsid w:val="00A43206"/>
    <w:rsid w:val="00A57739"/>
    <w:rsid w:val="00A57D7F"/>
    <w:rsid w:val="00A66028"/>
    <w:rsid w:val="00A71CEC"/>
    <w:rsid w:val="00A72D61"/>
    <w:rsid w:val="00A863EC"/>
    <w:rsid w:val="00AA12C6"/>
    <w:rsid w:val="00AA1EB7"/>
    <w:rsid w:val="00AC5A73"/>
    <w:rsid w:val="00AC754E"/>
    <w:rsid w:val="00AE1DB9"/>
    <w:rsid w:val="00AF61AD"/>
    <w:rsid w:val="00B30EC3"/>
    <w:rsid w:val="00B323DF"/>
    <w:rsid w:val="00B52449"/>
    <w:rsid w:val="00B74D5E"/>
    <w:rsid w:val="00B90F35"/>
    <w:rsid w:val="00B9647D"/>
    <w:rsid w:val="00B9767B"/>
    <w:rsid w:val="00BD4E55"/>
    <w:rsid w:val="00BD578B"/>
    <w:rsid w:val="00BE1BFB"/>
    <w:rsid w:val="00C12B0F"/>
    <w:rsid w:val="00C12C6E"/>
    <w:rsid w:val="00C25702"/>
    <w:rsid w:val="00C529EF"/>
    <w:rsid w:val="00C55FE6"/>
    <w:rsid w:val="00C632CC"/>
    <w:rsid w:val="00C71AD6"/>
    <w:rsid w:val="00C92E07"/>
    <w:rsid w:val="00CA2F0D"/>
    <w:rsid w:val="00CC2A44"/>
    <w:rsid w:val="00CC6658"/>
    <w:rsid w:val="00CE26A2"/>
    <w:rsid w:val="00CF4F3C"/>
    <w:rsid w:val="00CF583A"/>
    <w:rsid w:val="00CF799E"/>
    <w:rsid w:val="00D15DF8"/>
    <w:rsid w:val="00D16862"/>
    <w:rsid w:val="00D221D8"/>
    <w:rsid w:val="00D22440"/>
    <w:rsid w:val="00D36822"/>
    <w:rsid w:val="00D52DB6"/>
    <w:rsid w:val="00D6384B"/>
    <w:rsid w:val="00D90551"/>
    <w:rsid w:val="00D90592"/>
    <w:rsid w:val="00DA5534"/>
    <w:rsid w:val="00DB2817"/>
    <w:rsid w:val="00DC189B"/>
    <w:rsid w:val="00DD29C3"/>
    <w:rsid w:val="00E723D9"/>
    <w:rsid w:val="00E76CF0"/>
    <w:rsid w:val="00EA6327"/>
    <w:rsid w:val="00EB1637"/>
    <w:rsid w:val="00ED3180"/>
    <w:rsid w:val="00ED5276"/>
    <w:rsid w:val="00F04911"/>
    <w:rsid w:val="00F13D54"/>
    <w:rsid w:val="00F3540B"/>
    <w:rsid w:val="00F361F6"/>
    <w:rsid w:val="00F44C07"/>
    <w:rsid w:val="00F50D6A"/>
    <w:rsid w:val="00F61D89"/>
    <w:rsid w:val="00F865D7"/>
    <w:rsid w:val="00F91D15"/>
    <w:rsid w:val="00FA3247"/>
    <w:rsid w:val="00FB1534"/>
    <w:rsid w:val="00FB52E2"/>
    <w:rsid w:val="00FC1E70"/>
    <w:rsid w:val="00FC6E11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70EE6"/>
  <w15:chartTrackingRefBased/>
  <w15:docId w15:val="{57573E35-019A-4C59-A213-3781E1F9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24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A0DF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0D6A"/>
    <w:rPr>
      <w:color w:val="0000FF"/>
      <w:u w:val="single"/>
    </w:rPr>
  </w:style>
  <w:style w:type="table" w:styleId="TableGrid">
    <w:name w:val="Table Grid"/>
    <w:basedOn w:val="TableNormal"/>
    <w:rsid w:val="00310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13D54"/>
    <w:rPr>
      <w:color w:val="800080"/>
      <w:u w:val="single"/>
    </w:rPr>
  </w:style>
  <w:style w:type="paragraph" w:customStyle="1" w:styleId="Default">
    <w:name w:val="Default"/>
    <w:rsid w:val="00A66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30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0DFC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9161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61FF"/>
    <w:rPr>
      <w:lang w:val="sr-Latn-CS" w:eastAsia="sr-Latn-CS"/>
    </w:rPr>
  </w:style>
  <w:style w:type="paragraph" w:styleId="Footer">
    <w:name w:val="footer"/>
    <w:basedOn w:val="Normal"/>
    <w:link w:val="FooterChar"/>
    <w:rsid w:val="009161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161FF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1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a%209.2%20Popis%20informatickih%20resurs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2</Pages>
  <Words>848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6556</CharactersWithSpaces>
  <SharedDoc>false</SharedDoc>
  <HLinks>
    <vt:vector size="198" baseType="variant">
      <vt:variant>
        <vt:i4>5046283</vt:i4>
      </vt:variant>
      <vt:variant>
        <vt:i4>96</vt:i4>
      </vt:variant>
      <vt:variant>
        <vt:i4>0</vt:i4>
      </vt:variant>
      <vt:variant>
        <vt:i4>5</vt:i4>
      </vt:variant>
      <vt:variant>
        <vt:lpwstr>../Prilozi/P.9.2.doc</vt:lpwstr>
      </vt:variant>
      <vt:variant>
        <vt:lpwstr/>
      </vt:variant>
      <vt:variant>
        <vt:i4>3604535</vt:i4>
      </vt:variant>
      <vt:variant>
        <vt:i4>93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3801211</vt:i4>
      </vt:variant>
      <vt:variant>
        <vt:i4>90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87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3801211</vt:i4>
      </vt:variant>
      <vt:variant>
        <vt:i4>84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81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4915281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../Prilozi/IzvestajOSamovrednovanjuSkoleDecembar2011/Obrasci/12 Obezbedjenost info opreme.doc</vt:lpwstr>
      </vt:variant>
      <vt:variant>
        <vt:lpwstr/>
      </vt:variant>
      <vt:variant>
        <vt:i4>5111828</vt:i4>
      </vt:variant>
      <vt:variant>
        <vt:i4>75</vt:i4>
      </vt:variant>
      <vt:variant>
        <vt:i4>0</vt:i4>
      </vt:variant>
      <vt:variant>
        <vt:i4>5</vt:i4>
      </vt:variant>
      <vt:variant>
        <vt:lpwstr>../Prilozi/IzvestajOSamovrednovanjuSkoleDecembar2011/Prilozi/PREGLED KNJIGA U BIBLIOTECI PEP.xls</vt:lpwstr>
      </vt:variant>
      <vt:variant>
        <vt:lpwstr/>
      </vt:variant>
      <vt:variant>
        <vt:i4>5570637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54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3604535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5570637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4194315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../Prilozi/IzvestajOSamovrednovanjuSkoleDecembar2011/Prilozi/PokrivenostPredmetaiLiteraturom.doc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3604535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88</cp:revision>
  <dcterms:created xsi:type="dcterms:W3CDTF">2019-05-03T08:20:00Z</dcterms:created>
  <dcterms:modified xsi:type="dcterms:W3CDTF">2022-12-26T12:46:00Z</dcterms:modified>
</cp:coreProperties>
</file>